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1FB6D" w14:textId="01BE7232" w:rsidR="007044BB" w:rsidRPr="007E1310" w:rsidRDefault="007044BB" w:rsidP="006B2D5B">
      <w:pPr>
        <w:rPr>
          <w:rFonts w:cs="Times New Roman"/>
          <w:b/>
          <w:bCs/>
          <w:szCs w:val="24"/>
        </w:rPr>
      </w:pPr>
      <w:r w:rsidRPr="007E1310">
        <w:rPr>
          <w:rFonts w:cs="Times New Roman"/>
          <w:b/>
          <w:bCs/>
          <w:szCs w:val="24"/>
        </w:rPr>
        <w:t>Supplementary Information</w:t>
      </w:r>
    </w:p>
    <w:p w14:paraId="022FA157" w14:textId="5B1925D3" w:rsidR="000A60A8" w:rsidRDefault="000A60A8" w:rsidP="006B2D5B">
      <w:pPr>
        <w:rPr>
          <w:rFonts w:cs="Times New Roman"/>
          <w:b/>
          <w:bCs/>
          <w:szCs w:val="24"/>
        </w:rPr>
      </w:pPr>
    </w:p>
    <w:p w14:paraId="0686345B" w14:textId="77777777" w:rsidR="000A60A8" w:rsidRDefault="000A60A8" w:rsidP="000A60A8">
      <w:pPr>
        <w:keepNext/>
      </w:pPr>
      <w:r w:rsidRPr="00AE1129">
        <w:rPr>
          <w:noProof/>
        </w:rPr>
        <w:drawing>
          <wp:inline distT="0" distB="0" distL="0" distR="0" wp14:anchorId="5CC0855D" wp14:editId="60C9184D">
            <wp:extent cx="5727700" cy="1464945"/>
            <wp:effectExtent l="0" t="0" r="0" b="0"/>
            <wp:docPr id="13" name="Picture 2">
              <a:extLst xmlns:a="http://schemas.openxmlformats.org/drawingml/2006/main">
                <a:ext uri="{FF2B5EF4-FFF2-40B4-BE49-F238E27FC236}">
                  <a16:creationId xmlns:a16="http://schemas.microsoft.com/office/drawing/2014/main" id="{CCF14AAD-EFFA-9642-B30E-99D4A8B8B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CF14AAD-EFFA-9642-B30E-99D4A8B8B7B5}"/>
                        </a:ext>
                      </a:extLst>
                    </pic:cNvPr>
                    <pic:cNvPicPr>
                      <a:picLocks noChangeAspect="1"/>
                    </pic:cNvPicPr>
                  </pic:nvPicPr>
                  <pic:blipFill>
                    <a:blip r:embed="rId8"/>
                    <a:stretch>
                      <a:fillRect/>
                    </a:stretch>
                  </pic:blipFill>
                  <pic:spPr>
                    <a:xfrm>
                      <a:off x="0" y="0"/>
                      <a:ext cx="5727700" cy="1464945"/>
                    </a:xfrm>
                    <a:prstGeom prst="rect">
                      <a:avLst/>
                    </a:prstGeom>
                  </pic:spPr>
                </pic:pic>
              </a:graphicData>
            </a:graphic>
          </wp:inline>
        </w:drawing>
      </w:r>
    </w:p>
    <w:p w14:paraId="65933E0E" w14:textId="2BBBDBB0" w:rsidR="000A60A8" w:rsidRDefault="000A60A8" w:rsidP="000A60A8">
      <w:pPr>
        <w:pStyle w:val="Caption"/>
        <w:rPr>
          <w:b w:val="0"/>
          <w:bCs w:val="0"/>
        </w:rPr>
      </w:pPr>
      <w:bookmarkStart w:id="0" w:name="_Ref94631150"/>
      <w:r>
        <w:t xml:space="preserve">Figure </w:t>
      </w:r>
      <w:bookmarkEnd w:id="0"/>
      <w:r w:rsidR="008B7597">
        <w:t>S</w:t>
      </w:r>
      <w:r>
        <w:t xml:space="preserve">1: </w:t>
      </w:r>
      <w:r w:rsidRPr="004F2936">
        <w:rPr>
          <w:b w:val="0"/>
          <w:bCs w:val="0"/>
        </w:rPr>
        <w:t>Internal resistance of the control reactors</w:t>
      </w:r>
      <w:r>
        <w:rPr>
          <w:b w:val="0"/>
          <w:bCs w:val="0"/>
        </w:rPr>
        <w:t xml:space="preserve">. </w:t>
      </w:r>
      <w:bookmarkStart w:id="1" w:name="_Hlk122456875"/>
      <w:r>
        <w:rPr>
          <w:b w:val="0"/>
          <w:bCs w:val="0"/>
        </w:rPr>
        <w:t xml:space="preserve">Control reactors were single MFC reactors set up for every condition but under open circuit potential. The reactors were fed acetate medium (Acetate), synthetic wastewater medium (OECD), or </w:t>
      </w:r>
      <w:r w:rsidR="0022085D">
        <w:rPr>
          <w:b w:val="0"/>
          <w:bCs w:val="0"/>
        </w:rPr>
        <w:t>municipal</w:t>
      </w:r>
      <w:r>
        <w:rPr>
          <w:b w:val="0"/>
          <w:bCs w:val="0"/>
        </w:rPr>
        <w:t xml:space="preserve"> wastewater (WW) and inoculated using MFC effluent (MF</w:t>
      </w:r>
      <w:r w:rsidR="00D81C4E">
        <w:rPr>
          <w:b w:val="0"/>
          <w:bCs w:val="0"/>
        </w:rPr>
        <w:t>C</w:t>
      </w:r>
      <w:r>
        <w:rPr>
          <w:b w:val="0"/>
          <w:bCs w:val="0"/>
        </w:rPr>
        <w:t>), Tyne sediment (TS) or activated sludge (AS). Additionally, six control reactors were enriched on acetate and then three each were switched to OECD or WW respectively.</w:t>
      </w:r>
      <w:bookmarkEnd w:id="1"/>
    </w:p>
    <w:p w14:paraId="6ECCEB4A" w14:textId="77777777" w:rsidR="000A60A8" w:rsidRDefault="000A60A8" w:rsidP="006B2D5B">
      <w:pPr>
        <w:rPr>
          <w:rFonts w:cs="Times New Roman"/>
          <w:b/>
          <w:bCs/>
          <w:szCs w:val="24"/>
        </w:rPr>
      </w:pPr>
    </w:p>
    <w:p w14:paraId="0761E5A1" w14:textId="77777777" w:rsidR="0073503F" w:rsidRDefault="0073503F" w:rsidP="0073503F">
      <w:pPr>
        <w:keepNext/>
      </w:pPr>
      <w:r>
        <w:rPr>
          <w:noProof/>
        </w:rPr>
        <w:drawing>
          <wp:inline distT="0" distB="0" distL="0" distR="0" wp14:anchorId="53886B50" wp14:editId="1496B61B">
            <wp:extent cx="6553465" cy="1738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60314" cy="1740447"/>
                    </a:xfrm>
                    <a:prstGeom prst="rect">
                      <a:avLst/>
                    </a:prstGeom>
                  </pic:spPr>
                </pic:pic>
              </a:graphicData>
            </a:graphic>
          </wp:inline>
        </w:drawing>
      </w:r>
    </w:p>
    <w:p w14:paraId="51B2F8AD" w14:textId="7D55CFF7" w:rsidR="0073503F" w:rsidRDefault="0073503F" w:rsidP="0073503F">
      <w:pPr>
        <w:pStyle w:val="Caption"/>
      </w:pPr>
      <w:bookmarkStart w:id="2" w:name="_Ref94630947"/>
      <w:bookmarkStart w:id="3" w:name="_Ref94630937"/>
      <w:r>
        <w:t xml:space="preserve">Figure </w:t>
      </w:r>
      <w:bookmarkEnd w:id="2"/>
      <w:r w:rsidR="008B7597">
        <w:t>S</w:t>
      </w:r>
      <w:r w:rsidR="000A60A8">
        <w:t>2</w:t>
      </w:r>
      <w:r>
        <w:t xml:space="preserve">: </w:t>
      </w:r>
      <w:r w:rsidRPr="0073503F">
        <w:rPr>
          <w:b w:val="0"/>
          <w:bCs w:val="0"/>
        </w:rPr>
        <w:t>Open circuit potential of the control reactors</w:t>
      </w:r>
      <w:bookmarkEnd w:id="3"/>
      <w:r w:rsidR="004F2936">
        <w:rPr>
          <w:b w:val="0"/>
          <w:bCs w:val="0"/>
        </w:rPr>
        <w:t xml:space="preserve"> average</w:t>
      </w:r>
      <w:r w:rsidR="00362860">
        <w:rPr>
          <w:b w:val="0"/>
          <w:bCs w:val="0"/>
        </w:rPr>
        <w:t>d</w:t>
      </w:r>
      <w:r w:rsidR="004F2936">
        <w:rPr>
          <w:b w:val="0"/>
          <w:bCs w:val="0"/>
        </w:rPr>
        <w:t xml:space="preserve"> o</w:t>
      </w:r>
      <w:r w:rsidR="00362860">
        <w:rPr>
          <w:b w:val="0"/>
          <w:bCs w:val="0"/>
        </w:rPr>
        <w:t>ver</w:t>
      </w:r>
      <w:r w:rsidR="004F2936">
        <w:rPr>
          <w:b w:val="0"/>
          <w:bCs w:val="0"/>
        </w:rPr>
        <w:t xml:space="preserve"> the batches.</w:t>
      </w:r>
      <w:r w:rsidR="00AD321F">
        <w:rPr>
          <w:b w:val="0"/>
          <w:bCs w:val="0"/>
        </w:rPr>
        <w:t xml:space="preserve"> </w:t>
      </w:r>
      <w:r w:rsidR="00362860">
        <w:rPr>
          <w:b w:val="0"/>
          <w:bCs w:val="0"/>
        </w:rPr>
        <w:t xml:space="preserve">Control reactors were </w:t>
      </w:r>
      <w:r w:rsidR="00585612">
        <w:rPr>
          <w:b w:val="0"/>
          <w:bCs w:val="0"/>
        </w:rPr>
        <w:t>single MFC reactors set up for every condition but under open circuit potential</w:t>
      </w:r>
      <w:r w:rsidR="00336529">
        <w:rPr>
          <w:b w:val="0"/>
          <w:bCs w:val="0"/>
        </w:rPr>
        <w:t>. The reactors were fed acetate medium</w:t>
      </w:r>
      <w:r w:rsidR="002A6AF4">
        <w:rPr>
          <w:b w:val="0"/>
          <w:bCs w:val="0"/>
        </w:rPr>
        <w:t xml:space="preserve"> (Acetate), synthetic wastewater medium (OECD), or </w:t>
      </w:r>
      <w:r w:rsidR="0022085D">
        <w:rPr>
          <w:b w:val="0"/>
          <w:bCs w:val="0"/>
        </w:rPr>
        <w:t>municipal</w:t>
      </w:r>
      <w:r w:rsidR="002A6AF4">
        <w:rPr>
          <w:b w:val="0"/>
          <w:bCs w:val="0"/>
        </w:rPr>
        <w:t xml:space="preserve"> waste</w:t>
      </w:r>
      <w:r w:rsidR="005118B3">
        <w:rPr>
          <w:b w:val="0"/>
          <w:bCs w:val="0"/>
        </w:rPr>
        <w:t xml:space="preserve">water (WW) and inoculated using MFC effluent (MFC), </w:t>
      </w:r>
      <w:r w:rsidR="0014710B">
        <w:rPr>
          <w:b w:val="0"/>
          <w:bCs w:val="0"/>
        </w:rPr>
        <w:t xml:space="preserve">Tyne sediment (TS) or activated sludge (AS). Additionally, six control reactors were enriched on acetate and then three each were switched to OECD or WW respectively. </w:t>
      </w:r>
    </w:p>
    <w:p w14:paraId="1D9278D6" w14:textId="77777777" w:rsidR="004F2936" w:rsidRPr="004F2936" w:rsidRDefault="004F2936" w:rsidP="004F2936">
      <w:pPr>
        <w:pStyle w:val="NoSpacing"/>
      </w:pPr>
    </w:p>
    <w:p w14:paraId="2D1C1505" w14:textId="77777777" w:rsidR="0073503F" w:rsidRDefault="0073503F" w:rsidP="0073503F">
      <w:pPr>
        <w:keepNext/>
      </w:pPr>
      <w:r>
        <w:rPr>
          <w:noProof/>
        </w:rPr>
        <w:lastRenderedPageBreak/>
        <w:drawing>
          <wp:inline distT="0" distB="0" distL="0" distR="0" wp14:anchorId="2202C7A4" wp14:editId="5FB19965">
            <wp:extent cx="5727700" cy="1844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1844040"/>
                    </a:xfrm>
                    <a:prstGeom prst="rect">
                      <a:avLst/>
                    </a:prstGeom>
                  </pic:spPr>
                </pic:pic>
              </a:graphicData>
            </a:graphic>
          </wp:inline>
        </w:drawing>
      </w:r>
    </w:p>
    <w:p w14:paraId="295F1B0A" w14:textId="5F45A9E7" w:rsidR="0073503F" w:rsidRDefault="0073503F" w:rsidP="0073503F">
      <w:pPr>
        <w:pStyle w:val="Caption"/>
      </w:pPr>
      <w:bookmarkStart w:id="4" w:name="_Ref94635373"/>
      <w:r>
        <w:t xml:space="preserve">Figure </w:t>
      </w:r>
      <w:bookmarkEnd w:id="4"/>
      <w:r w:rsidR="008B7597">
        <w:t>S</w:t>
      </w:r>
      <w:r w:rsidR="00097BBB">
        <w:t>3</w:t>
      </w:r>
      <w:r>
        <w:t>:</w:t>
      </w:r>
      <w:r w:rsidR="004F2936">
        <w:t xml:space="preserve"> </w:t>
      </w:r>
      <w:r w:rsidR="004F2936" w:rsidRPr="004F2936">
        <w:rPr>
          <w:b w:val="0"/>
          <w:bCs w:val="0"/>
        </w:rPr>
        <w:t>Percentage</w:t>
      </w:r>
      <w:r w:rsidRPr="004F2936">
        <w:rPr>
          <w:b w:val="0"/>
          <w:bCs w:val="0"/>
        </w:rPr>
        <w:t xml:space="preserve"> COD removal of the control reactors</w:t>
      </w:r>
      <w:r w:rsidR="004F2936" w:rsidRPr="004F2936">
        <w:rPr>
          <w:b w:val="0"/>
          <w:bCs w:val="0"/>
        </w:rPr>
        <w:t xml:space="preserve"> over the batches.</w:t>
      </w:r>
      <w:r w:rsidR="0014710B">
        <w:rPr>
          <w:b w:val="0"/>
          <w:bCs w:val="0"/>
        </w:rPr>
        <w:t xml:space="preserve"> Control reactors were single MFC reactors set up for every condition but under open circuit potential. The reactors were fed acetate medium (Acetate), synthetic wastewater medium (OECD), or </w:t>
      </w:r>
      <w:r w:rsidR="0022085D">
        <w:rPr>
          <w:b w:val="0"/>
          <w:bCs w:val="0"/>
        </w:rPr>
        <w:t>municipal</w:t>
      </w:r>
      <w:r w:rsidR="0014710B">
        <w:rPr>
          <w:b w:val="0"/>
          <w:bCs w:val="0"/>
        </w:rPr>
        <w:t xml:space="preserve"> wastewater (WW) and inoculated using MFC effluent (MFC), Tyne sediment (TS) or activated sludge (AS). Additionally, six control reactors were enriched on acetate</w:t>
      </w:r>
      <w:r w:rsidR="00C538F5">
        <w:rPr>
          <w:b w:val="0"/>
          <w:bCs w:val="0"/>
        </w:rPr>
        <w:t xml:space="preserve"> </w:t>
      </w:r>
      <w:r w:rsidR="0014710B">
        <w:rPr>
          <w:b w:val="0"/>
          <w:bCs w:val="0"/>
        </w:rPr>
        <w:t xml:space="preserve">and then three each were switched to OECD or WW respectively. </w:t>
      </w:r>
      <w:r w:rsidR="00C538F5">
        <w:rPr>
          <w:b w:val="0"/>
          <w:bCs w:val="0"/>
        </w:rPr>
        <w:t xml:space="preserve">For these six the percentage COD removal was measured </w:t>
      </w:r>
      <w:r w:rsidR="008635FB">
        <w:rPr>
          <w:b w:val="0"/>
          <w:bCs w:val="0"/>
        </w:rPr>
        <w:t>twice once while enriching on acetate (</w:t>
      </w:r>
      <w:r w:rsidR="008635FB" w:rsidRPr="0022085D">
        <w:rPr>
          <w:b w:val="0"/>
          <w:bCs w:val="0"/>
          <w:color w:val="365F91" w:themeColor="accent1" w:themeShade="BF"/>
        </w:rPr>
        <w:t>blue</w:t>
      </w:r>
      <w:r w:rsidR="00643BB8">
        <w:rPr>
          <w:b w:val="0"/>
          <w:bCs w:val="0"/>
        </w:rPr>
        <w:t>) and a second time after switching to OECD and WW as substrate respectively (</w:t>
      </w:r>
      <w:r w:rsidR="00643BB8" w:rsidRPr="00A71A4F">
        <w:rPr>
          <w:color w:val="FF6600"/>
        </w:rPr>
        <w:t>orange</w:t>
      </w:r>
      <w:r w:rsidR="0097341D">
        <w:rPr>
          <w:b w:val="0"/>
          <w:bCs w:val="0"/>
        </w:rPr>
        <w:t>).</w:t>
      </w:r>
    </w:p>
    <w:p w14:paraId="046B5B6A" w14:textId="77777777" w:rsidR="004F2936" w:rsidRPr="004F2936" w:rsidRDefault="004F2936" w:rsidP="004F2936">
      <w:pPr>
        <w:pStyle w:val="NoSpacing"/>
      </w:pPr>
    </w:p>
    <w:p w14:paraId="409D0747" w14:textId="77777777" w:rsidR="0073503F" w:rsidRDefault="0073503F" w:rsidP="0073503F">
      <w:pPr>
        <w:keepNext/>
      </w:pPr>
      <w:r>
        <w:rPr>
          <w:noProof/>
        </w:rPr>
        <w:drawing>
          <wp:inline distT="0" distB="0" distL="0" distR="0" wp14:anchorId="3B56A816" wp14:editId="067B1928">
            <wp:extent cx="5727700" cy="16421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1642110"/>
                    </a:xfrm>
                    <a:prstGeom prst="rect">
                      <a:avLst/>
                    </a:prstGeom>
                  </pic:spPr>
                </pic:pic>
              </a:graphicData>
            </a:graphic>
          </wp:inline>
        </w:drawing>
      </w:r>
    </w:p>
    <w:p w14:paraId="632D14EB" w14:textId="1D728ADE" w:rsidR="0073503F" w:rsidRDefault="0073503F" w:rsidP="0073503F">
      <w:pPr>
        <w:pStyle w:val="Caption"/>
        <w:rPr>
          <w:b w:val="0"/>
          <w:bCs w:val="0"/>
        </w:rPr>
      </w:pPr>
      <w:bookmarkStart w:id="5" w:name="_Ref94631032"/>
      <w:r>
        <w:t xml:space="preserve">Figure </w:t>
      </w:r>
      <w:bookmarkEnd w:id="5"/>
      <w:r w:rsidR="008B7597">
        <w:t>S</w:t>
      </w:r>
      <w:r w:rsidR="00097BBB">
        <w:t>4</w:t>
      </w:r>
      <w:r>
        <w:t xml:space="preserve">: </w:t>
      </w:r>
      <w:r w:rsidRPr="004F2936">
        <w:rPr>
          <w:b w:val="0"/>
          <w:bCs w:val="0"/>
        </w:rPr>
        <w:t>Current flow at OCP</w:t>
      </w:r>
      <w:r w:rsidR="00883096">
        <w:rPr>
          <w:b w:val="0"/>
          <w:bCs w:val="0"/>
        </w:rPr>
        <w:t xml:space="preserve"> for the control reactors</w:t>
      </w:r>
      <w:r w:rsidRPr="004F2936">
        <w:rPr>
          <w:b w:val="0"/>
          <w:bCs w:val="0"/>
        </w:rPr>
        <w:t xml:space="preserve">. </w:t>
      </w:r>
      <w:r w:rsidR="00883096">
        <w:rPr>
          <w:b w:val="0"/>
          <w:bCs w:val="0"/>
        </w:rPr>
        <w:t xml:space="preserve">Control reactors were single MFC reactors set up for every condition but under open circuit potential. The reactors were fed acetate medium (Acetate), synthetic wastewater medium (OECD), or </w:t>
      </w:r>
      <w:r w:rsidR="0022085D">
        <w:rPr>
          <w:b w:val="0"/>
          <w:bCs w:val="0"/>
        </w:rPr>
        <w:t>municipal</w:t>
      </w:r>
      <w:r w:rsidR="00883096">
        <w:rPr>
          <w:b w:val="0"/>
          <w:bCs w:val="0"/>
        </w:rPr>
        <w:t xml:space="preserve"> wastewater (WW) and inoculated using MFC effluent (MFC), Tyne sediment (TS) or activated sludge (AS). Additionally, six control reactors were enriched on acetate and then three each were switched to OECD or WW respectively. </w:t>
      </w:r>
      <w:r w:rsidRPr="004F2936">
        <w:rPr>
          <w:b w:val="0"/>
          <w:bCs w:val="0"/>
        </w:rPr>
        <w:t xml:space="preserve">*The data logger </w:t>
      </w:r>
      <w:proofErr w:type="spellStart"/>
      <w:r w:rsidRPr="004F2936">
        <w:rPr>
          <w:b w:val="0"/>
          <w:bCs w:val="0"/>
        </w:rPr>
        <w:t>dataTaker</w:t>
      </w:r>
      <w:proofErr w:type="spellEnd"/>
      <w:r w:rsidRPr="004F2936">
        <w:rPr>
          <w:b w:val="0"/>
          <w:bCs w:val="0"/>
        </w:rPr>
        <w:t xml:space="preserve"> DT85 from OMNI Instr</w:t>
      </w:r>
      <w:r w:rsidR="00EB25AF">
        <w:rPr>
          <w:b w:val="0"/>
          <w:bCs w:val="0"/>
        </w:rPr>
        <w:t>u</w:t>
      </w:r>
      <w:r w:rsidRPr="004F2936">
        <w:rPr>
          <w:b w:val="0"/>
          <w:bCs w:val="0"/>
        </w:rPr>
        <w:t>ments is a multiplexer which means a current is only applied to the reactor while a measurement takes place. The data logger has an internal resistance (internal impedance) of &gt;100MΩ.</w:t>
      </w:r>
      <w:r w:rsidR="0097341D">
        <w:rPr>
          <w:b w:val="0"/>
          <w:bCs w:val="0"/>
        </w:rPr>
        <w:t xml:space="preserve"> </w:t>
      </w:r>
    </w:p>
    <w:p w14:paraId="26A482AC" w14:textId="01EAFDB4" w:rsidR="0029648A" w:rsidRPr="0029648A" w:rsidRDefault="0029648A" w:rsidP="0029648A">
      <w:pPr>
        <w:pStyle w:val="NoSpacing"/>
      </w:pPr>
    </w:p>
    <w:p w14:paraId="2DDA4562" w14:textId="539AFD71" w:rsidR="006655BD" w:rsidRDefault="00BF05F9" w:rsidP="006655BD">
      <w:r w:rsidRPr="009479A6">
        <w:rPr>
          <w:noProof/>
        </w:rPr>
        <w:lastRenderedPageBreak/>
        <w:drawing>
          <wp:anchor distT="0" distB="0" distL="114300" distR="114300" simplePos="0" relativeHeight="251682816" behindDoc="0" locked="0" layoutInCell="1" allowOverlap="1" wp14:anchorId="77407E5B" wp14:editId="05483B4F">
            <wp:simplePos x="0" y="0"/>
            <wp:positionH relativeFrom="column">
              <wp:posOffset>7310444</wp:posOffset>
            </wp:positionH>
            <wp:positionV relativeFrom="paragraph">
              <wp:posOffset>128582</wp:posOffset>
            </wp:positionV>
            <wp:extent cx="6376946" cy="4782397"/>
            <wp:effectExtent l="0" t="0" r="5080" b="0"/>
            <wp:wrapNone/>
            <wp:docPr id="37" name="Picture 4">
              <a:extLst xmlns:a="http://schemas.openxmlformats.org/drawingml/2006/main">
                <a:ext uri="{FF2B5EF4-FFF2-40B4-BE49-F238E27FC236}">
                  <a16:creationId xmlns:a16="http://schemas.microsoft.com/office/drawing/2014/main" id="{DEADEABB-7934-A645-AA73-C6E7847946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EADEABB-7934-A645-AA73-C6E784794668}"/>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76946" cy="4782397"/>
                    </a:xfrm>
                    <a:prstGeom prst="rect">
                      <a:avLst/>
                    </a:prstGeom>
                  </pic:spPr>
                </pic:pic>
              </a:graphicData>
            </a:graphic>
          </wp:anchor>
        </w:drawing>
      </w:r>
      <w:r w:rsidR="0029648A">
        <w:rPr>
          <w:b/>
          <w:bCs/>
          <w:noProof/>
        </w:rPr>
        <w:drawing>
          <wp:anchor distT="0" distB="0" distL="114300" distR="114300" simplePos="0" relativeHeight="251679744" behindDoc="0" locked="0" layoutInCell="1" allowOverlap="1" wp14:anchorId="3F66F977" wp14:editId="70AA17EE">
            <wp:simplePos x="0" y="0"/>
            <wp:positionH relativeFrom="column">
              <wp:posOffset>3852329</wp:posOffset>
            </wp:positionH>
            <wp:positionV relativeFrom="paragraph">
              <wp:posOffset>71061</wp:posOffset>
            </wp:positionV>
            <wp:extent cx="3131389" cy="2761307"/>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7528" t="24645" b="37179"/>
                    <a:stretch/>
                  </pic:blipFill>
                  <pic:spPr bwMode="auto">
                    <a:xfrm>
                      <a:off x="0" y="0"/>
                      <a:ext cx="3131389" cy="2761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48A">
        <w:rPr>
          <w:b/>
          <w:bCs/>
          <w:noProof/>
        </w:rPr>
        <w:drawing>
          <wp:inline distT="0" distB="0" distL="0" distR="0" wp14:anchorId="41F2DABB" wp14:editId="2207E74F">
            <wp:extent cx="3959525" cy="4330105"/>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467" t="48942" r="31777" b="1838"/>
                    <a:stretch/>
                  </pic:blipFill>
                  <pic:spPr bwMode="auto">
                    <a:xfrm>
                      <a:off x="0" y="0"/>
                      <a:ext cx="3963966" cy="4334962"/>
                    </a:xfrm>
                    <a:prstGeom prst="rect">
                      <a:avLst/>
                    </a:prstGeom>
                    <a:noFill/>
                    <a:ln>
                      <a:noFill/>
                    </a:ln>
                    <a:extLst>
                      <a:ext uri="{53640926-AAD7-44D8-BBD7-CCE9431645EC}">
                        <a14:shadowObscured xmlns:a14="http://schemas.microsoft.com/office/drawing/2010/main"/>
                      </a:ext>
                    </a:extLst>
                  </pic:spPr>
                </pic:pic>
              </a:graphicData>
            </a:graphic>
          </wp:inline>
        </w:drawing>
      </w:r>
      <w:bookmarkStart w:id="6" w:name="_Ref94723605"/>
    </w:p>
    <w:p w14:paraId="3E8108EF" w14:textId="6C37983B" w:rsidR="007044BB" w:rsidRDefault="007044BB" w:rsidP="006655BD">
      <w:r w:rsidRPr="00A6423E">
        <w:rPr>
          <w:b/>
          <w:bCs/>
        </w:rPr>
        <w:t>Figure</w:t>
      </w:r>
      <w:bookmarkEnd w:id="6"/>
      <w:r w:rsidR="00A6423E">
        <w:rPr>
          <w:b/>
          <w:bCs/>
        </w:rPr>
        <w:t xml:space="preserve"> </w:t>
      </w:r>
      <w:r w:rsidR="008B7597">
        <w:rPr>
          <w:b/>
          <w:bCs/>
        </w:rPr>
        <w:t>S</w:t>
      </w:r>
      <w:r w:rsidR="00A6423E">
        <w:rPr>
          <w:b/>
          <w:bCs/>
        </w:rPr>
        <w:t>5</w:t>
      </w:r>
      <w:r w:rsidRPr="00A6423E">
        <w:rPr>
          <w:b/>
          <w:bCs/>
        </w:rPr>
        <w:t>:</w:t>
      </w:r>
      <w:r>
        <w:t xml:space="preserve"> </w:t>
      </w:r>
      <w:r w:rsidR="0029648A" w:rsidRPr="00A6423E">
        <w:t xml:space="preserve">Shannon Index as </w:t>
      </w:r>
      <w:r w:rsidR="006655BD" w:rsidRPr="00A6423E">
        <w:t>a</w:t>
      </w:r>
      <w:r w:rsidRPr="00A6423E">
        <w:t>lpha</w:t>
      </w:r>
      <w:r w:rsidRPr="007044BB">
        <w:t xml:space="preserve"> diversity measure of the reactors</w:t>
      </w:r>
      <w:r>
        <w:t>.</w:t>
      </w:r>
      <w:r w:rsidR="0097341D">
        <w:t xml:space="preserve"> </w:t>
      </w:r>
      <w:r w:rsidR="00A45527">
        <w:t xml:space="preserve">The triplicate MFC reactors for the different conditions can be seen as box plots. The </w:t>
      </w:r>
      <w:r w:rsidR="000F32BE">
        <w:t xml:space="preserve">single </w:t>
      </w:r>
      <w:r w:rsidR="00A45527">
        <w:t xml:space="preserve">control reactors </w:t>
      </w:r>
      <w:r w:rsidR="000F32BE">
        <w:t>for each condition are the outlier (single dot above showing higher</w:t>
      </w:r>
      <w:r w:rsidR="000B3A4A">
        <w:t xml:space="preserve"> alpha</w:t>
      </w:r>
      <w:r w:rsidR="000F32BE">
        <w:t xml:space="preserve"> </w:t>
      </w:r>
      <w:r w:rsidR="000B3A4A">
        <w:t xml:space="preserve">diversity) above the </w:t>
      </w:r>
      <w:r w:rsidR="00B41293">
        <w:t>boxplot of the same conditions. The inoculum</w:t>
      </w:r>
      <w:r w:rsidR="003024E3">
        <w:t xml:space="preserve"> samples are </w:t>
      </w:r>
      <w:r w:rsidR="00533E55">
        <w:t>BAI AS, BAII AS, BAII MFC and BAII TS.</w:t>
      </w:r>
      <w:r w:rsidR="00BF05F9" w:rsidRPr="00BF05F9">
        <w:t xml:space="preserve"> </w:t>
      </w:r>
    </w:p>
    <w:p w14:paraId="61BFED30" w14:textId="77777777" w:rsidR="002F42EB" w:rsidRDefault="002F42EB" w:rsidP="006655BD"/>
    <w:p w14:paraId="0CDD461C" w14:textId="77777777" w:rsidR="00D04345" w:rsidRDefault="00D04345" w:rsidP="00D04345">
      <w:pPr>
        <w:keepNext/>
      </w:pPr>
      <w:r>
        <w:rPr>
          <w:noProof/>
        </w:rPr>
        <w:lastRenderedPageBreak/>
        <w:drawing>
          <wp:inline distT="0" distB="0" distL="0" distR="0" wp14:anchorId="21C52395" wp14:editId="22F2DD2D">
            <wp:extent cx="5727700" cy="572770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5727700"/>
                    </a:xfrm>
                    <a:prstGeom prst="rect">
                      <a:avLst/>
                    </a:prstGeom>
                    <a:noFill/>
                    <a:ln>
                      <a:noFill/>
                    </a:ln>
                  </pic:spPr>
                </pic:pic>
              </a:graphicData>
            </a:graphic>
          </wp:inline>
        </w:drawing>
      </w:r>
    </w:p>
    <w:p w14:paraId="779F594C" w14:textId="4860E055" w:rsidR="0047724E" w:rsidRDefault="00D04345" w:rsidP="00D04345">
      <w:pPr>
        <w:pStyle w:val="Caption"/>
        <w:rPr>
          <w:b w:val="0"/>
          <w:bCs w:val="0"/>
        </w:rPr>
      </w:pPr>
      <w:bookmarkStart w:id="7" w:name="_Ref100168952"/>
      <w:r>
        <w:t xml:space="preserve">Figure </w:t>
      </w:r>
      <w:r w:rsidR="008B7597">
        <w:t>S</w:t>
      </w:r>
      <w:r w:rsidR="00A6423E">
        <w:t>6</w:t>
      </w:r>
      <w:r w:rsidR="007E1310">
        <w:fldChar w:fldCharType="begin"/>
      </w:r>
      <w:r w:rsidR="007E1310">
        <w:instrText xml:space="preserve"> SEQ Figure \* ARABIC </w:instrText>
      </w:r>
      <w:r w:rsidR="007E1310">
        <w:fldChar w:fldCharType="separate"/>
      </w:r>
      <w:r w:rsidR="007E1310">
        <w:fldChar w:fldCharType="end"/>
      </w:r>
      <w:bookmarkEnd w:id="7"/>
      <w:r>
        <w:t xml:space="preserve">: </w:t>
      </w:r>
      <w:proofErr w:type="spellStart"/>
      <w:r w:rsidRPr="00297F24">
        <w:rPr>
          <w:b w:val="0"/>
          <w:bCs w:val="0"/>
        </w:rPr>
        <w:t>Dendogram</w:t>
      </w:r>
      <w:proofErr w:type="spellEnd"/>
      <w:r w:rsidRPr="00297F24">
        <w:rPr>
          <w:b w:val="0"/>
          <w:bCs w:val="0"/>
        </w:rPr>
        <w:t xml:space="preserve"> and heatmap of </w:t>
      </w:r>
      <w:r w:rsidR="00297F24">
        <w:rPr>
          <w:b w:val="0"/>
          <w:bCs w:val="0"/>
        </w:rPr>
        <w:t>class</w:t>
      </w:r>
      <w:r w:rsidRPr="00297F24">
        <w:rPr>
          <w:b w:val="0"/>
          <w:bCs w:val="0"/>
        </w:rPr>
        <w:t xml:space="preserve"> of bacteria</w:t>
      </w:r>
      <w:r w:rsidR="009E014A">
        <w:rPr>
          <w:b w:val="0"/>
          <w:bCs w:val="0"/>
        </w:rPr>
        <w:t xml:space="preserve"> enriched in the reactors an</w:t>
      </w:r>
      <w:r w:rsidR="00B01B1C">
        <w:rPr>
          <w:b w:val="0"/>
          <w:bCs w:val="0"/>
        </w:rPr>
        <w:t>d</w:t>
      </w:r>
      <w:r w:rsidR="009E014A">
        <w:rPr>
          <w:b w:val="0"/>
          <w:bCs w:val="0"/>
        </w:rPr>
        <w:t xml:space="preserve"> controls</w:t>
      </w:r>
      <w:r w:rsidR="00B01B1C">
        <w:rPr>
          <w:b w:val="0"/>
          <w:bCs w:val="0"/>
        </w:rPr>
        <w:t xml:space="preserve"> and seen in the </w:t>
      </w:r>
      <w:proofErr w:type="spellStart"/>
      <w:r w:rsidR="00B01B1C">
        <w:rPr>
          <w:b w:val="0"/>
          <w:bCs w:val="0"/>
        </w:rPr>
        <w:t>inocula</w:t>
      </w:r>
      <w:proofErr w:type="spellEnd"/>
      <w:r w:rsidR="00EE3986">
        <w:rPr>
          <w:b w:val="0"/>
          <w:bCs w:val="0"/>
        </w:rPr>
        <w:t>.</w:t>
      </w:r>
      <w:r w:rsidR="0047724E">
        <w:rPr>
          <w:b w:val="0"/>
          <w:bCs w:val="0"/>
        </w:rPr>
        <w:t xml:space="preserve"> </w:t>
      </w:r>
      <w:r w:rsidR="001850F9">
        <w:rPr>
          <w:b w:val="0"/>
          <w:bCs w:val="0"/>
        </w:rPr>
        <w:t>The t</w:t>
      </w:r>
      <w:r w:rsidR="0047724E">
        <w:rPr>
          <w:b w:val="0"/>
          <w:bCs w:val="0"/>
        </w:rPr>
        <w:t>riplicate MFC reactors</w:t>
      </w:r>
      <w:r w:rsidR="001850F9">
        <w:rPr>
          <w:b w:val="0"/>
          <w:bCs w:val="0"/>
        </w:rPr>
        <w:t xml:space="preserve"> (R stands for MFC reactor)</w:t>
      </w:r>
      <w:r w:rsidR="0047724E">
        <w:rPr>
          <w:b w:val="0"/>
          <w:bCs w:val="0"/>
        </w:rPr>
        <w:t xml:space="preserve"> under a 100Ω resistor were fed acetate medium (Acetate), synthetic wastewater medium (OECD), or </w:t>
      </w:r>
      <w:r w:rsidR="001C1CEA">
        <w:rPr>
          <w:b w:val="0"/>
          <w:bCs w:val="0"/>
        </w:rPr>
        <w:t>municipal</w:t>
      </w:r>
      <w:r w:rsidR="0047724E">
        <w:rPr>
          <w:b w:val="0"/>
          <w:bCs w:val="0"/>
        </w:rPr>
        <w:t xml:space="preserve"> wastewater (WW) and inoculated using MFC effluent (MFC </w:t>
      </w:r>
      <w:proofErr w:type="gramStart"/>
      <w:r w:rsidR="0047724E">
        <w:rPr>
          <w:b w:val="0"/>
          <w:bCs w:val="0"/>
        </w:rPr>
        <w:t>eff</w:t>
      </w:r>
      <w:proofErr w:type="gramEnd"/>
      <w:r w:rsidR="0047724E">
        <w:rPr>
          <w:b w:val="0"/>
          <w:bCs w:val="0"/>
        </w:rPr>
        <w:t>), Tyne sediment (TS) or activated sludge (AS). Additionally, six reactors were enriched on acetate and then three each were switched to OECD</w:t>
      </w:r>
      <w:r w:rsidR="00DC6C0A">
        <w:rPr>
          <w:b w:val="0"/>
          <w:bCs w:val="0"/>
        </w:rPr>
        <w:t xml:space="preserve"> (Ac-OECD)</w:t>
      </w:r>
      <w:r w:rsidR="0047724E">
        <w:rPr>
          <w:b w:val="0"/>
          <w:bCs w:val="0"/>
        </w:rPr>
        <w:t xml:space="preserve"> or WW </w:t>
      </w:r>
      <w:r w:rsidR="00DC6C0A">
        <w:rPr>
          <w:b w:val="0"/>
          <w:bCs w:val="0"/>
        </w:rPr>
        <w:t>(Ac</w:t>
      </w:r>
      <w:r w:rsidR="001850F9">
        <w:rPr>
          <w:b w:val="0"/>
          <w:bCs w:val="0"/>
        </w:rPr>
        <w:t xml:space="preserve">-WW) </w:t>
      </w:r>
      <w:r w:rsidR="0047724E">
        <w:rPr>
          <w:b w:val="0"/>
          <w:bCs w:val="0"/>
        </w:rPr>
        <w:t>respectively.</w:t>
      </w:r>
      <w:r w:rsidR="00DC6C0A">
        <w:rPr>
          <w:b w:val="0"/>
          <w:bCs w:val="0"/>
        </w:rPr>
        <w:t xml:space="preserve"> </w:t>
      </w:r>
      <w:r w:rsidR="0047724E">
        <w:rPr>
          <w:b w:val="0"/>
          <w:bCs w:val="0"/>
        </w:rPr>
        <w:t>Control reactors were single MFC reactors set up for every condition but under open circuit potential.</w:t>
      </w:r>
      <w:r w:rsidR="001850F9">
        <w:rPr>
          <w:b w:val="0"/>
          <w:bCs w:val="0"/>
        </w:rPr>
        <w:t xml:space="preserve"> The control reactors have a C in front of the description. </w:t>
      </w:r>
      <w:proofErr w:type="spellStart"/>
      <w:r w:rsidR="00AE25E8">
        <w:rPr>
          <w:b w:val="0"/>
          <w:bCs w:val="0"/>
        </w:rPr>
        <w:t>Inocula</w:t>
      </w:r>
      <w:proofErr w:type="spellEnd"/>
      <w:r w:rsidR="00AE25E8">
        <w:rPr>
          <w:b w:val="0"/>
          <w:bCs w:val="0"/>
        </w:rPr>
        <w:t xml:space="preserve"> consisted of MFC effluent (MFC1 and MFC2), </w:t>
      </w:r>
      <w:r w:rsidR="00A67E3D">
        <w:rPr>
          <w:b w:val="0"/>
          <w:bCs w:val="0"/>
        </w:rPr>
        <w:t xml:space="preserve">activated sludge (AS1 and AS2) and Tyne sediment (TS1 and TS2). </w:t>
      </w:r>
    </w:p>
    <w:p w14:paraId="5C45A915" w14:textId="54CDE2A9" w:rsidR="001A43E8" w:rsidRDefault="001A43E8" w:rsidP="006B2D5B">
      <w:pPr>
        <w:rPr>
          <w:rFonts w:cs="Times New Roman"/>
          <w:szCs w:val="24"/>
        </w:rPr>
      </w:pPr>
    </w:p>
    <w:p w14:paraId="0FB350ED" w14:textId="77777777" w:rsidR="001A43E8" w:rsidRDefault="001A43E8" w:rsidP="001A43E8">
      <w:pPr>
        <w:keepNext/>
      </w:pPr>
      <w:r>
        <w:rPr>
          <w:noProof/>
          <w:lang w:eastAsia="en-GB"/>
        </w:rPr>
        <w:lastRenderedPageBreak/>
        <w:drawing>
          <wp:inline distT="0" distB="0" distL="0" distR="0" wp14:anchorId="0A121F6C" wp14:editId="1AF4BA59">
            <wp:extent cx="5943600" cy="1864995"/>
            <wp:effectExtent l="0" t="0" r="0" b="190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344A45" w14:textId="2AB119FA" w:rsidR="001A43E8" w:rsidRPr="006A4275" w:rsidRDefault="001A43E8" w:rsidP="001A43E8">
      <w:pPr>
        <w:pStyle w:val="Caption"/>
        <w:rPr>
          <w:rFonts w:cstheme="minorHAnsi"/>
          <w:b w:val="0"/>
          <w:bCs w:val="0"/>
        </w:rPr>
      </w:pPr>
      <w:bookmarkStart w:id="8" w:name="_Ref94716590"/>
      <w:r>
        <w:t xml:space="preserve">Figure </w:t>
      </w:r>
      <w:bookmarkEnd w:id="8"/>
      <w:r w:rsidR="008B7597">
        <w:t>S</w:t>
      </w:r>
      <w:r w:rsidR="00A6423E">
        <w:t>7</w:t>
      </w:r>
      <w:r>
        <w:t xml:space="preserve">: </w:t>
      </w:r>
      <w:r w:rsidR="00F57EC2">
        <w:t>C</w:t>
      </w:r>
      <w:r w:rsidRPr="006A4275">
        <w:rPr>
          <w:b w:val="0"/>
          <w:bCs w:val="0"/>
        </w:rPr>
        <w:t xml:space="preserve">omparison of </w:t>
      </w:r>
      <w:r w:rsidR="001C1CEA">
        <w:rPr>
          <w:b w:val="0"/>
          <w:bCs w:val="0"/>
        </w:rPr>
        <w:t>municipal</w:t>
      </w:r>
      <w:r w:rsidRPr="006A4275">
        <w:rPr>
          <w:b w:val="0"/>
          <w:bCs w:val="0"/>
        </w:rPr>
        <w:t xml:space="preserve"> wastewater</w:t>
      </w:r>
      <w:r w:rsidR="00873294">
        <w:rPr>
          <w:b w:val="0"/>
          <w:bCs w:val="0"/>
        </w:rPr>
        <w:t xml:space="preserve"> (WW)</w:t>
      </w:r>
      <w:r w:rsidRPr="006A4275">
        <w:rPr>
          <w:b w:val="0"/>
          <w:bCs w:val="0"/>
        </w:rPr>
        <w:t xml:space="preserve"> and synthetic OECD wastewater medium</w:t>
      </w:r>
      <w:r w:rsidR="006A4275">
        <w:rPr>
          <w:b w:val="0"/>
          <w:bCs w:val="0"/>
        </w:rPr>
        <w:t>.</w:t>
      </w:r>
      <w:r w:rsidRPr="006A4275">
        <w:rPr>
          <w:b w:val="0"/>
          <w:bCs w:val="0"/>
        </w:rPr>
        <w:t xml:space="preserve"> </w:t>
      </w:r>
      <w:r w:rsidR="00F57EC2">
        <w:rPr>
          <w:b w:val="0"/>
          <w:bCs w:val="0"/>
        </w:rPr>
        <w:t xml:space="preserve">The measured concentrations showed that </w:t>
      </w:r>
      <w:r w:rsidR="00873294">
        <w:rPr>
          <w:b w:val="0"/>
          <w:bCs w:val="0"/>
        </w:rPr>
        <w:t>the synthetic wastewater</w:t>
      </w:r>
      <w:r w:rsidR="00775493">
        <w:rPr>
          <w:b w:val="0"/>
          <w:bCs w:val="0"/>
        </w:rPr>
        <w:t xml:space="preserve"> used</w:t>
      </w:r>
      <w:r w:rsidR="00873294">
        <w:rPr>
          <w:b w:val="0"/>
          <w:bCs w:val="0"/>
        </w:rPr>
        <w:t xml:space="preserve"> is</w:t>
      </w:r>
      <w:r w:rsidR="00F57EC2">
        <w:rPr>
          <w:b w:val="0"/>
          <w:bCs w:val="0"/>
        </w:rPr>
        <w:t xml:space="preserve"> </w:t>
      </w:r>
      <w:r w:rsidR="00873294">
        <w:rPr>
          <w:b w:val="0"/>
          <w:bCs w:val="0"/>
        </w:rPr>
        <w:t>comparable to</w:t>
      </w:r>
      <w:r w:rsidR="00F57EC2">
        <w:rPr>
          <w:b w:val="0"/>
          <w:bCs w:val="0"/>
        </w:rPr>
        <w:t xml:space="preserve"> </w:t>
      </w:r>
      <w:r w:rsidR="00775493">
        <w:rPr>
          <w:b w:val="0"/>
          <w:bCs w:val="0"/>
        </w:rPr>
        <w:t>domestic wastewater.</w:t>
      </w:r>
    </w:p>
    <w:p w14:paraId="797D59AA" w14:textId="77777777" w:rsidR="001A43E8" w:rsidRPr="0088513A" w:rsidRDefault="001A43E8" w:rsidP="006B2D5B">
      <w:pPr>
        <w:rPr>
          <w:rFonts w:cs="Times New Roman"/>
          <w:szCs w:val="24"/>
        </w:rPr>
      </w:pPr>
    </w:p>
    <w:sectPr w:rsidR="001A43E8" w:rsidRPr="0088513A" w:rsidSect="00B104A1">
      <w:headerReference w:type="even" r:id="rId17"/>
      <w:headerReference w:type="default" r:id="rId18"/>
      <w:footerReference w:type="even" r:id="rId19"/>
      <w:footerReference w:type="default" r:id="rId20"/>
      <w:headerReference w:type="first" r:id="rId21"/>
      <w:pgSz w:w="12240" w:h="15840"/>
      <w:pgMar w:top="1138" w:right="1181" w:bottom="1138" w:left="1282" w:header="283" w:footer="51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22332A" w14:textId="77777777" w:rsidR="00666268" w:rsidRDefault="00666268" w:rsidP="00117666">
      <w:pPr>
        <w:spacing w:after="0"/>
      </w:pPr>
      <w:r>
        <w:separator/>
      </w:r>
    </w:p>
  </w:endnote>
  <w:endnote w:type="continuationSeparator" w:id="0">
    <w:p w14:paraId="05B9FE29" w14:textId="77777777" w:rsidR="00666268" w:rsidRDefault="00666268" w:rsidP="00117666">
      <w:pPr>
        <w:spacing w:after="0"/>
      </w:pPr>
      <w:r>
        <w:continuationSeparator/>
      </w:r>
    </w:p>
  </w:endnote>
  <w:endnote w:type="continuationNotice" w:id="1">
    <w:p w14:paraId="0EB472A3" w14:textId="77777777" w:rsidR="00666268" w:rsidRDefault="006662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D3D87" w14:textId="7980A587" w:rsidR="00686C9D" w:rsidRPr="00577C4C" w:rsidRDefault="00C52A7B">
    <w:pPr>
      <w:pStyle w:val="Foote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51D4B8BD" wp14:editId="575B1817">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1D4B8BD"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214951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BFF2"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2C4AF3B6" wp14:editId="527467EE">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C4AF3B6" id="_x0000_t202" coordsize="21600,21600" o:spt="202" path="m,l,21600r21600,l21600,xe">
              <v:stroke joinstyle="miter"/>
              <v:path gradientshapeok="t" o:connecttype="rect"/>
            </v:shapetype>
            <v:shape id="Text Box 56" o:spid="_x0000_s1027"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74D070C5"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144D7" w14:textId="77777777" w:rsidR="00666268" w:rsidRDefault="00666268" w:rsidP="00117666">
      <w:pPr>
        <w:spacing w:after="0"/>
      </w:pPr>
      <w:r>
        <w:separator/>
      </w:r>
    </w:p>
  </w:footnote>
  <w:footnote w:type="continuationSeparator" w:id="0">
    <w:p w14:paraId="0B339B0A" w14:textId="77777777" w:rsidR="00666268" w:rsidRDefault="00666268" w:rsidP="00117666">
      <w:pPr>
        <w:spacing w:after="0"/>
      </w:pPr>
      <w:r>
        <w:continuationSeparator/>
      </w:r>
    </w:p>
  </w:footnote>
  <w:footnote w:type="continuationNotice" w:id="1">
    <w:p w14:paraId="173D6123" w14:textId="77777777" w:rsidR="00666268" w:rsidRDefault="0066626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3A34" w14:textId="14B590AD" w:rsidR="00686C9D" w:rsidRPr="007E3148" w:rsidRDefault="001052DC" w:rsidP="00A53000">
    <w:pPr>
      <w:pStyle w:val="Header"/>
    </w:pPr>
    <w:r>
      <w:t xml:space="preserve">SI: </w:t>
    </w:r>
    <w:r w:rsidRPr="001052DC">
      <w:t xml:space="preserve">Does pre-enrichment of anodes with acetate to select for </w:t>
    </w:r>
    <w:proofErr w:type="spellStart"/>
    <w:r w:rsidRPr="001052DC">
      <w:t>Geobacter</w:t>
    </w:r>
    <w:proofErr w:type="spellEnd"/>
    <w:r w:rsidRPr="001052DC">
      <w:t xml:space="preserve"> spp. enhance performance of microbial fuel cells when switched to more complex substrates?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8A4BC" w14:textId="77777777" w:rsidR="00686C9D" w:rsidRPr="00A53000" w:rsidRDefault="00C52A7B" w:rsidP="00A53000">
    <w:pPr>
      <w:pStyle w:val="Header"/>
    </w:pPr>
    <w:r w:rsidRPr="007E3148">
      <w:ptab w:relativeTo="margin" w:alignment="center" w:leader="none"/>
    </w:r>
    <w:r w:rsidRPr="007E3148">
      <w:ptab w:relativeTo="margin" w:alignment="right" w:leader="none"/>
    </w:r>
    <w:r w:rsidRPr="00A53000">
      <w:t>Running 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27F1"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56C3F4FE" wp14:editId="369AA4D1">
          <wp:extent cx="1382534" cy="497091"/>
          <wp:effectExtent l="0" t="0" r="0" b="0"/>
          <wp:docPr id="22" name="Picture 22"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C6A8CCEA"/>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BC6F29"/>
    <w:multiLevelType w:val="multilevel"/>
    <w:tmpl w:val="C6A8CCEA"/>
    <w:numStyleLink w:val="Headings"/>
  </w:abstractNum>
  <w:abstractNum w:abstractNumId="17"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103918058">
    <w:abstractNumId w:val="0"/>
  </w:num>
  <w:num w:numId="2" w16cid:durableId="933172714">
    <w:abstractNumId w:val="13"/>
  </w:num>
  <w:num w:numId="3" w16cid:durableId="695888033">
    <w:abstractNumId w:val="1"/>
  </w:num>
  <w:num w:numId="4" w16cid:durableId="741609572">
    <w:abstractNumId w:val="15"/>
  </w:num>
  <w:num w:numId="5" w16cid:durableId="2522483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03328561">
    <w:abstractNumId w:val="10"/>
  </w:num>
  <w:num w:numId="7" w16cid:durableId="1692367009">
    <w:abstractNumId w:val="8"/>
  </w:num>
  <w:num w:numId="8" w16cid:durableId="2107379690">
    <w:abstractNumId w:val="6"/>
  </w:num>
  <w:num w:numId="9" w16cid:durableId="581111098">
    <w:abstractNumId w:val="9"/>
  </w:num>
  <w:num w:numId="10" w16cid:durableId="1772048742">
    <w:abstractNumId w:val="7"/>
  </w:num>
  <w:num w:numId="11" w16cid:durableId="1259020320">
    <w:abstractNumId w:val="2"/>
  </w:num>
  <w:num w:numId="12" w16cid:durableId="1276715881">
    <w:abstractNumId w:val="17"/>
  </w:num>
  <w:num w:numId="13" w16cid:durableId="145706093">
    <w:abstractNumId w:val="12"/>
  </w:num>
  <w:num w:numId="14" w16cid:durableId="1221018360">
    <w:abstractNumId w:val="4"/>
  </w:num>
  <w:num w:numId="15" w16cid:durableId="732699050">
    <w:abstractNumId w:val="11"/>
  </w:num>
  <w:num w:numId="16" w16cid:durableId="137765102">
    <w:abstractNumId w:val="14"/>
  </w:num>
  <w:num w:numId="17" w16cid:durableId="1402021918">
    <w:abstractNumId w:val="3"/>
    <w:lvlOverride w:ilvl="0">
      <w:lvl w:ilvl="0">
        <w:start w:val="1"/>
        <w:numFmt w:val="decimal"/>
        <w:pStyle w:val="Heading1"/>
        <w:lvlText w:val="%1"/>
        <w:lvlJc w:val="left"/>
        <w:pPr>
          <w:tabs>
            <w:tab w:val="num" w:pos="1418"/>
          </w:tabs>
          <w:ind w:left="1418" w:hanging="567"/>
        </w:pPr>
        <w:rPr>
          <w:rFonts w:hint="default"/>
        </w:rPr>
      </w:lvl>
    </w:lvlOverride>
    <w:lvlOverride w:ilvl="1">
      <w:lvl w:ilvl="1">
        <w:start w:val="1"/>
        <w:numFmt w:val="decimal"/>
        <w:pStyle w:val="Heading2"/>
        <w:lvlText w:val="%1.%2"/>
        <w:lvlJc w:val="left"/>
        <w:pPr>
          <w:tabs>
            <w:tab w:val="num" w:pos="1418"/>
          </w:tabs>
          <w:ind w:left="1418" w:hanging="567"/>
        </w:pPr>
        <w:rPr>
          <w:rFonts w:hint="default"/>
        </w:rPr>
      </w:lvl>
    </w:lvlOverride>
  </w:num>
  <w:num w:numId="18" w16cid:durableId="738943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30344275">
    <w:abstractNumId w:val="5"/>
  </w:num>
  <w:num w:numId="20" w16cid:durableId="91973099">
    <w:abstractNumId w:val="16"/>
  </w:num>
  <w:num w:numId="21" w16cid:durableId="1312950324">
    <w:abstractNumId w:val="3"/>
  </w:num>
  <w:num w:numId="22" w16cid:durableId="1039361240">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 at Newcastl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s5wp0xtf2zzzea5a35par2drtdepxawvx5&quot;&gt;BA paper&lt;record-ids&gt;&lt;item&gt;1&lt;/item&gt;&lt;item&gt;2&lt;/item&gt;&lt;item&gt;3&lt;/item&gt;&lt;item&gt;25&lt;/item&gt;&lt;item&gt;26&lt;/item&gt;&lt;item&gt;27&lt;/item&gt;&lt;item&gt;28&lt;/item&gt;&lt;item&gt;29&lt;/item&gt;&lt;item&gt;30&lt;/item&gt;&lt;item&gt;31&lt;/item&gt;&lt;item&gt;32&lt;/item&gt;&lt;item&gt;34&lt;/item&gt;&lt;item&gt;35&lt;/item&gt;&lt;item&gt;36&lt;/item&gt;&lt;item&gt;37&lt;/item&gt;&lt;item&gt;39&lt;/item&gt;&lt;item&gt;41&lt;/item&gt;&lt;item&gt;42&lt;/item&gt;&lt;item&gt;43&lt;/item&gt;&lt;item&gt;44&lt;/item&gt;&lt;item&gt;45&lt;/item&gt;&lt;item&gt;50&lt;/item&gt;&lt;item&gt;53&lt;/item&gt;&lt;item&gt;59&lt;/item&gt;&lt;item&gt;60&lt;/item&gt;&lt;item&gt;61&lt;/item&gt;&lt;item&gt;63&lt;/item&gt;&lt;item&gt;64&lt;/item&gt;&lt;item&gt;65&lt;/item&gt;&lt;item&gt;66&lt;/item&gt;&lt;item&gt;67&lt;/item&gt;&lt;item&gt;68&lt;/item&gt;&lt;item&gt;69&lt;/item&gt;&lt;item&gt;70&lt;/item&gt;&lt;item&gt;71&lt;/item&gt;&lt;item&gt;72&lt;/item&gt;&lt;item&gt;73&lt;/item&gt;&lt;item&gt;74&lt;/item&gt;&lt;item&gt;75&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record-ids&gt;&lt;/item&gt;&lt;/Libraries&gt;"/>
  </w:docVars>
  <w:rsids>
    <w:rsidRoot w:val="00681821"/>
    <w:rsid w:val="000002C5"/>
    <w:rsid w:val="000010BD"/>
    <w:rsid w:val="000012D8"/>
    <w:rsid w:val="00001D41"/>
    <w:rsid w:val="000036BF"/>
    <w:rsid w:val="00005BA2"/>
    <w:rsid w:val="000126D9"/>
    <w:rsid w:val="00013897"/>
    <w:rsid w:val="00014445"/>
    <w:rsid w:val="00015D95"/>
    <w:rsid w:val="0001676A"/>
    <w:rsid w:val="000174B3"/>
    <w:rsid w:val="00017A09"/>
    <w:rsid w:val="00020A4D"/>
    <w:rsid w:val="000213F7"/>
    <w:rsid w:val="00022471"/>
    <w:rsid w:val="00022D27"/>
    <w:rsid w:val="000274B5"/>
    <w:rsid w:val="0003072B"/>
    <w:rsid w:val="0003235C"/>
    <w:rsid w:val="00032B61"/>
    <w:rsid w:val="00034304"/>
    <w:rsid w:val="00035434"/>
    <w:rsid w:val="00037613"/>
    <w:rsid w:val="00041265"/>
    <w:rsid w:val="00044526"/>
    <w:rsid w:val="00044C4D"/>
    <w:rsid w:val="00045472"/>
    <w:rsid w:val="0004555F"/>
    <w:rsid w:val="00045678"/>
    <w:rsid w:val="000458E4"/>
    <w:rsid w:val="0005047E"/>
    <w:rsid w:val="00052FE3"/>
    <w:rsid w:val="0005372A"/>
    <w:rsid w:val="00053823"/>
    <w:rsid w:val="000543D7"/>
    <w:rsid w:val="00054562"/>
    <w:rsid w:val="0005493F"/>
    <w:rsid w:val="000565E0"/>
    <w:rsid w:val="00062730"/>
    <w:rsid w:val="00062D71"/>
    <w:rsid w:val="00063D84"/>
    <w:rsid w:val="00064684"/>
    <w:rsid w:val="0006636D"/>
    <w:rsid w:val="000675D3"/>
    <w:rsid w:val="000701EC"/>
    <w:rsid w:val="000703AF"/>
    <w:rsid w:val="00070F55"/>
    <w:rsid w:val="00076E61"/>
    <w:rsid w:val="00077D53"/>
    <w:rsid w:val="00077E10"/>
    <w:rsid w:val="000808D9"/>
    <w:rsid w:val="00080F04"/>
    <w:rsid w:val="00081394"/>
    <w:rsid w:val="00082412"/>
    <w:rsid w:val="00082BBB"/>
    <w:rsid w:val="00084028"/>
    <w:rsid w:val="00085D27"/>
    <w:rsid w:val="000861E3"/>
    <w:rsid w:val="00086F8D"/>
    <w:rsid w:val="00087490"/>
    <w:rsid w:val="0009475E"/>
    <w:rsid w:val="00096459"/>
    <w:rsid w:val="000975E0"/>
    <w:rsid w:val="00097A41"/>
    <w:rsid w:val="00097BBB"/>
    <w:rsid w:val="000A0E2A"/>
    <w:rsid w:val="000A15A6"/>
    <w:rsid w:val="000A60A8"/>
    <w:rsid w:val="000A65F5"/>
    <w:rsid w:val="000B34BD"/>
    <w:rsid w:val="000B3A4A"/>
    <w:rsid w:val="000B549B"/>
    <w:rsid w:val="000B5F2D"/>
    <w:rsid w:val="000B60C7"/>
    <w:rsid w:val="000B7499"/>
    <w:rsid w:val="000C0561"/>
    <w:rsid w:val="000C153C"/>
    <w:rsid w:val="000C5918"/>
    <w:rsid w:val="000C7E2A"/>
    <w:rsid w:val="000D14D3"/>
    <w:rsid w:val="000D471E"/>
    <w:rsid w:val="000E2736"/>
    <w:rsid w:val="000E3350"/>
    <w:rsid w:val="000E7348"/>
    <w:rsid w:val="000F08B8"/>
    <w:rsid w:val="000F32BE"/>
    <w:rsid w:val="000F4CFB"/>
    <w:rsid w:val="000F77BC"/>
    <w:rsid w:val="000F7C66"/>
    <w:rsid w:val="00102445"/>
    <w:rsid w:val="0010263C"/>
    <w:rsid w:val="00104877"/>
    <w:rsid w:val="001052DC"/>
    <w:rsid w:val="00106653"/>
    <w:rsid w:val="001077A2"/>
    <w:rsid w:val="00110B64"/>
    <w:rsid w:val="001116EC"/>
    <w:rsid w:val="00112932"/>
    <w:rsid w:val="0011348C"/>
    <w:rsid w:val="0011408F"/>
    <w:rsid w:val="0011515F"/>
    <w:rsid w:val="00115470"/>
    <w:rsid w:val="00117666"/>
    <w:rsid w:val="00121CDD"/>
    <w:rsid w:val="001223A7"/>
    <w:rsid w:val="00124B64"/>
    <w:rsid w:val="001270A9"/>
    <w:rsid w:val="00131319"/>
    <w:rsid w:val="00131B86"/>
    <w:rsid w:val="00132A30"/>
    <w:rsid w:val="0013406C"/>
    <w:rsid w:val="00134256"/>
    <w:rsid w:val="00134D8F"/>
    <w:rsid w:val="00134FFE"/>
    <w:rsid w:val="001355C9"/>
    <w:rsid w:val="00135C36"/>
    <w:rsid w:val="001379B6"/>
    <w:rsid w:val="00142126"/>
    <w:rsid w:val="0014329F"/>
    <w:rsid w:val="0014434B"/>
    <w:rsid w:val="00146B2E"/>
    <w:rsid w:val="0014710B"/>
    <w:rsid w:val="00147395"/>
    <w:rsid w:val="001475FF"/>
    <w:rsid w:val="001476D3"/>
    <w:rsid w:val="00150ED2"/>
    <w:rsid w:val="00153C08"/>
    <w:rsid w:val="00154181"/>
    <w:rsid w:val="001552C9"/>
    <w:rsid w:val="001556C8"/>
    <w:rsid w:val="001620B8"/>
    <w:rsid w:val="00163F94"/>
    <w:rsid w:val="00166E9F"/>
    <w:rsid w:val="00166F31"/>
    <w:rsid w:val="0017080B"/>
    <w:rsid w:val="00171C2C"/>
    <w:rsid w:val="00173516"/>
    <w:rsid w:val="0017609D"/>
    <w:rsid w:val="00177D84"/>
    <w:rsid w:val="0018139D"/>
    <w:rsid w:val="001850F9"/>
    <w:rsid w:val="00186A60"/>
    <w:rsid w:val="00192F4A"/>
    <w:rsid w:val="00193458"/>
    <w:rsid w:val="00193A14"/>
    <w:rsid w:val="001953A6"/>
    <w:rsid w:val="001964EF"/>
    <w:rsid w:val="001A02D6"/>
    <w:rsid w:val="001A0AE0"/>
    <w:rsid w:val="001A2DBF"/>
    <w:rsid w:val="001A4165"/>
    <w:rsid w:val="001A43E8"/>
    <w:rsid w:val="001A4747"/>
    <w:rsid w:val="001A5206"/>
    <w:rsid w:val="001A6CF7"/>
    <w:rsid w:val="001A7331"/>
    <w:rsid w:val="001B05D6"/>
    <w:rsid w:val="001B143D"/>
    <w:rsid w:val="001B198D"/>
    <w:rsid w:val="001B1A2C"/>
    <w:rsid w:val="001B1B3A"/>
    <w:rsid w:val="001B254B"/>
    <w:rsid w:val="001B2BBF"/>
    <w:rsid w:val="001B4037"/>
    <w:rsid w:val="001B4468"/>
    <w:rsid w:val="001B71D6"/>
    <w:rsid w:val="001C1CEA"/>
    <w:rsid w:val="001C28DE"/>
    <w:rsid w:val="001C3FFA"/>
    <w:rsid w:val="001C5C5C"/>
    <w:rsid w:val="001C6DE5"/>
    <w:rsid w:val="001D4824"/>
    <w:rsid w:val="001D551C"/>
    <w:rsid w:val="001D5C23"/>
    <w:rsid w:val="001D761B"/>
    <w:rsid w:val="001E050C"/>
    <w:rsid w:val="001E115A"/>
    <w:rsid w:val="001E1A7D"/>
    <w:rsid w:val="001E20F3"/>
    <w:rsid w:val="001E4BD9"/>
    <w:rsid w:val="001E5140"/>
    <w:rsid w:val="001F3AA7"/>
    <w:rsid w:val="001F4429"/>
    <w:rsid w:val="001F4C07"/>
    <w:rsid w:val="001F68D4"/>
    <w:rsid w:val="002008DD"/>
    <w:rsid w:val="00200925"/>
    <w:rsid w:val="00200A35"/>
    <w:rsid w:val="0020197B"/>
    <w:rsid w:val="00201BB8"/>
    <w:rsid w:val="002047C5"/>
    <w:rsid w:val="00205354"/>
    <w:rsid w:val="0020566E"/>
    <w:rsid w:val="002115CF"/>
    <w:rsid w:val="0021298C"/>
    <w:rsid w:val="00214687"/>
    <w:rsid w:val="00214C60"/>
    <w:rsid w:val="00216FAC"/>
    <w:rsid w:val="00217D9E"/>
    <w:rsid w:val="0022085D"/>
    <w:rsid w:val="002209E7"/>
    <w:rsid w:val="00220AEA"/>
    <w:rsid w:val="00220EC4"/>
    <w:rsid w:val="002217C8"/>
    <w:rsid w:val="00223DFF"/>
    <w:rsid w:val="00226954"/>
    <w:rsid w:val="0022745C"/>
    <w:rsid w:val="002307F2"/>
    <w:rsid w:val="00233B6D"/>
    <w:rsid w:val="0023434E"/>
    <w:rsid w:val="002346F9"/>
    <w:rsid w:val="002354F1"/>
    <w:rsid w:val="00236EC3"/>
    <w:rsid w:val="002403B6"/>
    <w:rsid w:val="00240C7C"/>
    <w:rsid w:val="0024577A"/>
    <w:rsid w:val="00246822"/>
    <w:rsid w:val="00247531"/>
    <w:rsid w:val="0025020F"/>
    <w:rsid w:val="00250A6F"/>
    <w:rsid w:val="00250FBA"/>
    <w:rsid w:val="00251218"/>
    <w:rsid w:val="002517E1"/>
    <w:rsid w:val="00251A65"/>
    <w:rsid w:val="00253A9E"/>
    <w:rsid w:val="00253EEA"/>
    <w:rsid w:val="00256F5E"/>
    <w:rsid w:val="00257632"/>
    <w:rsid w:val="00257B9F"/>
    <w:rsid w:val="00261D0E"/>
    <w:rsid w:val="002629A3"/>
    <w:rsid w:val="00262A5C"/>
    <w:rsid w:val="00262D23"/>
    <w:rsid w:val="00264790"/>
    <w:rsid w:val="00265660"/>
    <w:rsid w:val="00267D18"/>
    <w:rsid w:val="00271BDD"/>
    <w:rsid w:val="0027314C"/>
    <w:rsid w:val="002736CF"/>
    <w:rsid w:val="00275764"/>
    <w:rsid w:val="002763C9"/>
    <w:rsid w:val="00276E7D"/>
    <w:rsid w:val="00280382"/>
    <w:rsid w:val="0028084E"/>
    <w:rsid w:val="00281446"/>
    <w:rsid w:val="0028437D"/>
    <w:rsid w:val="002844EF"/>
    <w:rsid w:val="002868E2"/>
    <w:rsid w:val="002869C3"/>
    <w:rsid w:val="00286AD7"/>
    <w:rsid w:val="00287155"/>
    <w:rsid w:val="00293529"/>
    <w:rsid w:val="002936E4"/>
    <w:rsid w:val="0029408A"/>
    <w:rsid w:val="002942A1"/>
    <w:rsid w:val="00294969"/>
    <w:rsid w:val="00295CD5"/>
    <w:rsid w:val="00295E00"/>
    <w:rsid w:val="0029648A"/>
    <w:rsid w:val="00296B88"/>
    <w:rsid w:val="00297079"/>
    <w:rsid w:val="0029782A"/>
    <w:rsid w:val="00297A6E"/>
    <w:rsid w:val="00297F24"/>
    <w:rsid w:val="002A0843"/>
    <w:rsid w:val="002A14E2"/>
    <w:rsid w:val="002A29B3"/>
    <w:rsid w:val="002A43EE"/>
    <w:rsid w:val="002A5116"/>
    <w:rsid w:val="002A565B"/>
    <w:rsid w:val="002A5E94"/>
    <w:rsid w:val="002A61BE"/>
    <w:rsid w:val="002A6AF4"/>
    <w:rsid w:val="002A7415"/>
    <w:rsid w:val="002C1A3F"/>
    <w:rsid w:val="002C22E5"/>
    <w:rsid w:val="002C3F50"/>
    <w:rsid w:val="002C3F54"/>
    <w:rsid w:val="002C4DB4"/>
    <w:rsid w:val="002C6C6D"/>
    <w:rsid w:val="002C74CA"/>
    <w:rsid w:val="002D0746"/>
    <w:rsid w:val="002D41EB"/>
    <w:rsid w:val="002D5B5B"/>
    <w:rsid w:val="002D733B"/>
    <w:rsid w:val="002D7B77"/>
    <w:rsid w:val="002D7EDC"/>
    <w:rsid w:val="002E07C6"/>
    <w:rsid w:val="002E2ADA"/>
    <w:rsid w:val="002E3EB6"/>
    <w:rsid w:val="002E45AC"/>
    <w:rsid w:val="002E52C3"/>
    <w:rsid w:val="002F42EB"/>
    <w:rsid w:val="002F598D"/>
    <w:rsid w:val="002F744D"/>
    <w:rsid w:val="002F7C63"/>
    <w:rsid w:val="002F7DA7"/>
    <w:rsid w:val="003024E3"/>
    <w:rsid w:val="00303DE6"/>
    <w:rsid w:val="00306F7E"/>
    <w:rsid w:val="00310124"/>
    <w:rsid w:val="00310D06"/>
    <w:rsid w:val="0031501F"/>
    <w:rsid w:val="003158E2"/>
    <w:rsid w:val="00315B23"/>
    <w:rsid w:val="0032051A"/>
    <w:rsid w:val="00320663"/>
    <w:rsid w:val="00320A3D"/>
    <w:rsid w:val="003223A9"/>
    <w:rsid w:val="00323B74"/>
    <w:rsid w:val="00323D1A"/>
    <w:rsid w:val="00327033"/>
    <w:rsid w:val="003305DF"/>
    <w:rsid w:val="00330691"/>
    <w:rsid w:val="003314A4"/>
    <w:rsid w:val="00331F1A"/>
    <w:rsid w:val="0033408D"/>
    <w:rsid w:val="00336529"/>
    <w:rsid w:val="00336D90"/>
    <w:rsid w:val="00341B5C"/>
    <w:rsid w:val="00342713"/>
    <w:rsid w:val="00342B67"/>
    <w:rsid w:val="00342DC9"/>
    <w:rsid w:val="00345F24"/>
    <w:rsid w:val="00350936"/>
    <w:rsid w:val="00352650"/>
    <w:rsid w:val="00352706"/>
    <w:rsid w:val="0035369B"/>
    <w:rsid w:val="003544FB"/>
    <w:rsid w:val="00355103"/>
    <w:rsid w:val="00355111"/>
    <w:rsid w:val="0035599D"/>
    <w:rsid w:val="00356597"/>
    <w:rsid w:val="00357D6D"/>
    <w:rsid w:val="00360067"/>
    <w:rsid w:val="00361443"/>
    <w:rsid w:val="00361C9D"/>
    <w:rsid w:val="00362860"/>
    <w:rsid w:val="00365C85"/>
    <w:rsid w:val="00365D63"/>
    <w:rsid w:val="00366318"/>
    <w:rsid w:val="00366758"/>
    <w:rsid w:val="0036793B"/>
    <w:rsid w:val="00370ABA"/>
    <w:rsid w:val="00371B72"/>
    <w:rsid w:val="00372677"/>
    <w:rsid w:val="00372682"/>
    <w:rsid w:val="00372CC5"/>
    <w:rsid w:val="00374195"/>
    <w:rsid w:val="0037451B"/>
    <w:rsid w:val="003748F6"/>
    <w:rsid w:val="00375BB8"/>
    <w:rsid w:val="00376001"/>
    <w:rsid w:val="00376CC5"/>
    <w:rsid w:val="0037733B"/>
    <w:rsid w:val="00377CDF"/>
    <w:rsid w:val="00380453"/>
    <w:rsid w:val="003836AB"/>
    <w:rsid w:val="0038435F"/>
    <w:rsid w:val="003850AA"/>
    <w:rsid w:val="00385E70"/>
    <w:rsid w:val="00385FE0"/>
    <w:rsid w:val="00386040"/>
    <w:rsid w:val="0038705E"/>
    <w:rsid w:val="00387A39"/>
    <w:rsid w:val="00387C2E"/>
    <w:rsid w:val="00390064"/>
    <w:rsid w:val="00390BFE"/>
    <w:rsid w:val="00391606"/>
    <w:rsid w:val="00395A2D"/>
    <w:rsid w:val="0039693B"/>
    <w:rsid w:val="003A0A34"/>
    <w:rsid w:val="003A1CA0"/>
    <w:rsid w:val="003A36E1"/>
    <w:rsid w:val="003A4C2E"/>
    <w:rsid w:val="003A520C"/>
    <w:rsid w:val="003A5974"/>
    <w:rsid w:val="003A7959"/>
    <w:rsid w:val="003B0712"/>
    <w:rsid w:val="003B1683"/>
    <w:rsid w:val="003B2229"/>
    <w:rsid w:val="003B257F"/>
    <w:rsid w:val="003B3978"/>
    <w:rsid w:val="003B5D78"/>
    <w:rsid w:val="003B5F88"/>
    <w:rsid w:val="003B60E9"/>
    <w:rsid w:val="003B7992"/>
    <w:rsid w:val="003C20DD"/>
    <w:rsid w:val="003C375D"/>
    <w:rsid w:val="003C3869"/>
    <w:rsid w:val="003C3A1A"/>
    <w:rsid w:val="003C5857"/>
    <w:rsid w:val="003C650B"/>
    <w:rsid w:val="003D0834"/>
    <w:rsid w:val="003D1318"/>
    <w:rsid w:val="003D2F2D"/>
    <w:rsid w:val="003D4057"/>
    <w:rsid w:val="003D4667"/>
    <w:rsid w:val="003D4A2F"/>
    <w:rsid w:val="003D5D41"/>
    <w:rsid w:val="003D6FDF"/>
    <w:rsid w:val="003E0D63"/>
    <w:rsid w:val="003E1539"/>
    <w:rsid w:val="003E18F2"/>
    <w:rsid w:val="003E2CD2"/>
    <w:rsid w:val="003E45AB"/>
    <w:rsid w:val="003F03BD"/>
    <w:rsid w:val="003F345D"/>
    <w:rsid w:val="003F5717"/>
    <w:rsid w:val="003F7524"/>
    <w:rsid w:val="00401590"/>
    <w:rsid w:val="0040591B"/>
    <w:rsid w:val="00405CF8"/>
    <w:rsid w:val="0040799C"/>
    <w:rsid w:val="004110B5"/>
    <w:rsid w:val="004139CA"/>
    <w:rsid w:val="00413DE4"/>
    <w:rsid w:val="00415369"/>
    <w:rsid w:val="00416507"/>
    <w:rsid w:val="00417F21"/>
    <w:rsid w:val="004204DD"/>
    <w:rsid w:val="004212C2"/>
    <w:rsid w:val="00422683"/>
    <w:rsid w:val="00422C94"/>
    <w:rsid w:val="004235A4"/>
    <w:rsid w:val="00435398"/>
    <w:rsid w:val="00435C4F"/>
    <w:rsid w:val="00443552"/>
    <w:rsid w:val="00445238"/>
    <w:rsid w:val="004460B2"/>
    <w:rsid w:val="0044610C"/>
    <w:rsid w:val="00447C7F"/>
    <w:rsid w:val="0045036E"/>
    <w:rsid w:val="004507EA"/>
    <w:rsid w:val="00450886"/>
    <w:rsid w:val="004519D5"/>
    <w:rsid w:val="00452435"/>
    <w:rsid w:val="00455CD1"/>
    <w:rsid w:val="00456443"/>
    <w:rsid w:val="0045704C"/>
    <w:rsid w:val="004574D6"/>
    <w:rsid w:val="00462101"/>
    <w:rsid w:val="004639DB"/>
    <w:rsid w:val="00463E3D"/>
    <w:rsid w:val="00463E8F"/>
    <w:rsid w:val="004645AE"/>
    <w:rsid w:val="0046574B"/>
    <w:rsid w:val="00465A7A"/>
    <w:rsid w:val="00466582"/>
    <w:rsid w:val="004673C0"/>
    <w:rsid w:val="00467F07"/>
    <w:rsid w:val="00471566"/>
    <w:rsid w:val="00473185"/>
    <w:rsid w:val="00473F28"/>
    <w:rsid w:val="0047406F"/>
    <w:rsid w:val="0047471D"/>
    <w:rsid w:val="0047724E"/>
    <w:rsid w:val="00480681"/>
    <w:rsid w:val="00482C01"/>
    <w:rsid w:val="004847B5"/>
    <w:rsid w:val="00485EF8"/>
    <w:rsid w:val="00486FB8"/>
    <w:rsid w:val="0048711A"/>
    <w:rsid w:val="00487399"/>
    <w:rsid w:val="00487504"/>
    <w:rsid w:val="004901EF"/>
    <w:rsid w:val="00490849"/>
    <w:rsid w:val="00492B89"/>
    <w:rsid w:val="00495A95"/>
    <w:rsid w:val="00495E9E"/>
    <w:rsid w:val="004A17D1"/>
    <w:rsid w:val="004A21E3"/>
    <w:rsid w:val="004A555B"/>
    <w:rsid w:val="004A5CDF"/>
    <w:rsid w:val="004A7F73"/>
    <w:rsid w:val="004B0DA8"/>
    <w:rsid w:val="004B3FF8"/>
    <w:rsid w:val="004B4D94"/>
    <w:rsid w:val="004B6A9C"/>
    <w:rsid w:val="004C059D"/>
    <w:rsid w:val="004C1AD5"/>
    <w:rsid w:val="004C3250"/>
    <w:rsid w:val="004C78F2"/>
    <w:rsid w:val="004D14CF"/>
    <w:rsid w:val="004D3E33"/>
    <w:rsid w:val="004D581A"/>
    <w:rsid w:val="004D7EF7"/>
    <w:rsid w:val="004E0118"/>
    <w:rsid w:val="004E06F5"/>
    <w:rsid w:val="004E18C6"/>
    <w:rsid w:val="004E281D"/>
    <w:rsid w:val="004E3527"/>
    <w:rsid w:val="004E4C68"/>
    <w:rsid w:val="004E6320"/>
    <w:rsid w:val="004E632B"/>
    <w:rsid w:val="004E7045"/>
    <w:rsid w:val="004F2936"/>
    <w:rsid w:val="004F36EC"/>
    <w:rsid w:val="004F5281"/>
    <w:rsid w:val="004F6039"/>
    <w:rsid w:val="004F62EA"/>
    <w:rsid w:val="004F6A98"/>
    <w:rsid w:val="00504C25"/>
    <w:rsid w:val="00505023"/>
    <w:rsid w:val="00505242"/>
    <w:rsid w:val="005055F7"/>
    <w:rsid w:val="005078D9"/>
    <w:rsid w:val="0051034C"/>
    <w:rsid w:val="005118B3"/>
    <w:rsid w:val="005119C8"/>
    <w:rsid w:val="00513EA9"/>
    <w:rsid w:val="0051478B"/>
    <w:rsid w:val="00514810"/>
    <w:rsid w:val="005177FC"/>
    <w:rsid w:val="00517C4D"/>
    <w:rsid w:val="00520251"/>
    <w:rsid w:val="0052148B"/>
    <w:rsid w:val="0052224C"/>
    <w:rsid w:val="00522960"/>
    <w:rsid w:val="00522CB3"/>
    <w:rsid w:val="00523E04"/>
    <w:rsid w:val="005247CE"/>
    <w:rsid w:val="005250F2"/>
    <w:rsid w:val="005252DD"/>
    <w:rsid w:val="0052649D"/>
    <w:rsid w:val="0053020C"/>
    <w:rsid w:val="005308D7"/>
    <w:rsid w:val="00531491"/>
    <w:rsid w:val="00533BED"/>
    <w:rsid w:val="00533E55"/>
    <w:rsid w:val="00535B71"/>
    <w:rsid w:val="005365CA"/>
    <w:rsid w:val="00541C48"/>
    <w:rsid w:val="00541F2D"/>
    <w:rsid w:val="005521F6"/>
    <w:rsid w:val="00553272"/>
    <w:rsid w:val="005533C3"/>
    <w:rsid w:val="00554644"/>
    <w:rsid w:val="00560E52"/>
    <w:rsid w:val="005644F8"/>
    <w:rsid w:val="0056569C"/>
    <w:rsid w:val="00566961"/>
    <w:rsid w:val="005701D4"/>
    <w:rsid w:val="00570CD1"/>
    <w:rsid w:val="00570E63"/>
    <w:rsid w:val="00571BF0"/>
    <w:rsid w:val="005737D7"/>
    <w:rsid w:val="0057451A"/>
    <w:rsid w:val="0057664E"/>
    <w:rsid w:val="00583822"/>
    <w:rsid w:val="00583C66"/>
    <w:rsid w:val="00585612"/>
    <w:rsid w:val="0058564A"/>
    <w:rsid w:val="00587646"/>
    <w:rsid w:val="00587E44"/>
    <w:rsid w:val="00592E32"/>
    <w:rsid w:val="0059421F"/>
    <w:rsid w:val="005A12E1"/>
    <w:rsid w:val="005A1D84"/>
    <w:rsid w:val="005A1D99"/>
    <w:rsid w:val="005A234E"/>
    <w:rsid w:val="005A2745"/>
    <w:rsid w:val="005A2B5B"/>
    <w:rsid w:val="005A2D95"/>
    <w:rsid w:val="005A4AA7"/>
    <w:rsid w:val="005A70EA"/>
    <w:rsid w:val="005B00BB"/>
    <w:rsid w:val="005B1C19"/>
    <w:rsid w:val="005B2E13"/>
    <w:rsid w:val="005B3523"/>
    <w:rsid w:val="005B3CD9"/>
    <w:rsid w:val="005B41B6"/>
    <w:rsid w:val="005B4586"/>
    <w:rsid w:val="005B4BE3"/>
    <w:rsid w:val="005C20DA"/>
    <w:rsid w:val="005C3881"/>
    <w:rsid w:val="005C3963"/>
    <w:rsid w:val="005C3BD9"/>
    <w:rsid w:val="005C5DEF"/>
    <w:rsid w:val="005C662A"/>
    <w:rsid w:val="005D1164"/>
    <w:rsid w:val="005D1840"/>
    <w:rsid w:val="005D35E4"/>
    <w:rsid w:val="005D59D5"/>
    <w:rsid w:val="005D6DB7"/>
    <w:rsid w:val="005D7184"/>
    <w:rsid w:val="005D7910"/>
    <w:rsid w:val="005E08C4"/>
    <w:rsid w:val="005E1C82"/>
    <w:rsid w:val="005E2855"/>
    <w:rsid w:val="005E39C2"/>
    <w:rsid w:val="005E47D4"/>
    <w:rsid w:val="005E56ED"/>
    <w:rsid w:val="005E6760"/>
    <w:rsid w:val="005E6AB5"/>
    <w:rsid w:val="005F0268"/>
    <w:rsid w:val="005F0280"/>
    <w:rsid w:val="005F0D83"/>
    <w:rsid w:val="005F1BC1"/>
    <w:rsid w:val="005F2A05"/>
    <w:rsid w:val="005F3160"/>
    <w:rsid w:val="005F718B"/>
    <w:rsid w:val="00602E0B"/>
    <w:rsid w:val="00603045"/>
    <w:rsid w:val="00605F5A"/>
    <w:rsid w:val="0060701C"/>
    <w:rsid w:val="00607041"/>
    <w:rsid w:val="00610539"/>
    <w:rsid w:val="00612743"/>
    <w:rsid w:val="00612799"/>
    <w:rsid w:val="00613A8D"/>
    <w:rsid w:val="006140E7"/>
    <w:rsid w:val="0061433E"/>
    <w:rsid w:val="006148DA"/>
    <w:rsid w:val="0061499A"/>
    <w:rsid w:val="00616D10"/>
    <w:rsid w:val="006173F0"/>
    <w:rsid w:val="006213D5"/>
    <w:rsid w:val="0062154F"/>
    <w:rsid w:val="00622B89"/>
    <w:rsid w:val="006247CB"/>
    <w:rsid w:val="00625A8D"/>
    <w:rsid w:val="00627BBE"/>
    <w:rsid w:val="00630281"/>
    <w:rsid w:val="00631A8C"/>
    <w:rsid w:val="00633A0B"/>
    <w:rsid w:val="006351F8"/>
    <w:rsid w:val="006367FD"/>
    <w:rsid w:val="0063685D"/>
    <w:rsid w:val="00640BFD"/>
    <w:rsid w:val="00643BB8"/>
    <w:rsid w:val="00644114"/>
    <w:rsid w:val="006442D9"/>
    <w:rsid w:val="00644EBA"/>
    <w:rsid w:val="0064769F"/>
    <w:rsid w:val="00647DEA"/>
    <w:rsid w:val="00651CA2"/>
    <w:rsid w:val="0065204F"/>
    <w:rsid w:val="00653580"/>
    <w:rsid w:val="00653D60"/>
    <w:rsid w:val="00654C80"/>
    <w:rsid w:val="00655868"/>
    <w:rsid w:val="00655D84"/>
    <w:rsid w:val="00660D05"/>
    <w:rsid w:val="00664913"/>
    <w:rsid w:val="006655BD"/>
    <w:rsid w:val="00666268"/>
    <w:rsid w:val="006710C6"/>
    <w:rsid w:val="00671D9A"/>
    <w:rsid w:val="00673952"/>
    <w:rsid w:val="00675A76"/>
    <w:rsid w:val="006764D6"/>
    <w:rsid w:val="00680446"/>
    <w:rsid w:val="00680CDA"/>
    <w:rsid w:val="00681821"/>
    <w:rsid w:val="00686772"/>
    <w:rsid w:val="00686C9D"/>
    <w:rsid w:val="00694DEF"/>
    <w:rsid w:val="00694E66"/>
    <w:rsid w:val="00694EED"/>
    <w:rsid w:val="006958D7"/>
    <w:rsid w:val="006A09F3"/>
    <w:rsid w:val="006A2CF5"/>
    <w:rsid w:val="006A3F45"/>
    <w:rsid w:val="006A4275"/>
    <w:rsid w:val="006A727B"/>
    <w:rsid w:val="006A7D07"/>
    <w:rsid w:val="006B0F60"/>
    <w:rsid w:val="006B131F"/>
    <w:rsid w:val="006B2B6F"/>
    <w:rsid w:val="006B2D5B"/>
    <w:rsid w:val="006B361D"/>
    <w:rsid w:val="006B3AE8"/>
    <w:rsid w:val="006B3E22"/>
    <w:rsid w:val="006B519D"/>
    <w:rsid w:val="006B6B3D"/>
    <w:rsid w:val="006B7990"/>
    <w:rsid w:val="006B7D14"/>
    <w:rsid w:val="006C0925"/>
    <w:rsid w:val="006C48A6"/>
    <w:rsid w:val="006C4A7D"/>
    <w:rsid w:val="006C5140"/>
    <w:rsid w:val="006C5981"/>
    <w:rsid w:val="006C65DE"/>
    <w:rsid w:val="006C7E1B"/>
    <w:rsid w:val="006D2109"/>
    <w:rsid w:val="006D42EA"/>
    <w:rsid w:val="006D5137"/>
    <w:rsid w:val="006D5648"/>
    <w:rsid w:val="006D5B93"/>
    <w:rsid w:val="006D66E2"/>
    <w:rsid w:val="006E2F24"/>
    <w:rsid w:val="006E5FF1"/>
    <w:rsid w:val="006E64D3"/>
    <w:rsid w:val="006F1E6A"/>
    <w:rsid w:val="006F252B"/>
    <w:rsid w:val="006F45ED"/>
    <w:rsid w:val="006F54F2"/>
    <w:rsid w:val="006F6996"/>
    <w:rsid w:val="006F6B34"/>
    <w:rsid w:val="006F6D1F"/>
    <w:rsid w:val="006F74AF"/>
    <w:rsid w:val="0070037A"/>
    <w:rsid w:val="007006E4"/>
    <w:rsid w:val="00701B98"/>
    <w:rsid w:val="00702B6F"/>
    <w:rsid w:val="007044BB"/>
    <w:rsid w:val="007053FE"/>
    <w:rsid w:val="007058B5"/>
    <w:rsid w:val="00707CC2"/>
    <w:rsid w:val="00707F03"/>
    <w:rsid w:val="00715C9F"/>
    <w:rsid w:val="00717CF7"/>
    <w:rsid w:val="00717E3F"/>
    <w:rsid w:val="0072202A"/>
    <w:rsid w:val="00722E0B"/>
    <w:rsid w:val="00725A7D"/>
    <w:rsid w:val="00727653"/>
    <w:rsid w:val="00727A9C"/>
    <w:rsid w:val="00727D1A"/>
    <w:rsid w:val="0073085C"/>
    <w:rsid w:val="00731CE3"/>
    <w:rsid w:val="00733784"/>
    <w:rsid w:val="0073503F"/>
    <w:rsid w:val="00737207"/>
    <w:rsid w:val="007453C7"/>
    <w:rsid w:val="00746505"/>
    <w:rsid w:val="007467CC"/>
    <w:rsid w:val="0074738B"/>
    <w:rsid w:val="00747835"/>
    <w:rsid w:val="00747DEC"/>
    <w:rsid w:val="00751AC3"/>
    <w:rsid w:val="007530AE"/>
    <w:rsid w:val="0075426A"/>
    <w:rsid w:val="00756935"/>
    <w:rsid w:val="00756AE7"/>
    <w:rsid w:val="007570FB"/>
    <w:rsid w:val="00757ED0"/>
    <w:rsid w:val="00761D3C"/>
    <w:rsid w:val="0076209D"/>
    <w:rsid w:val="007627F7"/>
    <w:rsid w:val="00765F87"/>
    <w:rsid w:val="00767775"/>
    <w:rsid w:val="00767942"/>
    <w:rsid w:val="00770496"/>
    <w:rsid w:val="00772099"/>
    <w:rsid w:val="00773FD1"/>
    <w:rsid w:val="00775493"/>
    <w:rsid w:val="0077731D"/>
    <w:rsid w:val="007841EF"/>
    <w:rsid w:val="00784396"/>
    <w:rsid w:val="00784885"/>
    <w:rsid w:val="007872EA"/>
    <w:rsid w:val="00787718"/>
    <w:rsid w:val="00790BB3"/>
    <w:rsid w:val="00792043"/>
    <w:rsid w:val="00792DD9"/>
    <w:rsid w:val="0079322B"/>
    <w:rsid w:val="00795601"/>
    <w:rsid w:val="00796F6C"/>
    <w:rsid w:val="00797EDD"/>
    <w:rsid w:val="007A2522"/>
    <w:rsid w:val="007A3EA9"/>
    <w:rsid w:val="007A4580"/>
    <w:rsid w:val="007B0322"/>
    <w:rsid w:val="007B06C8"/>
    <w:rsid w:val="007B4319"/>
    <w:rsid w:val="007B5381"/>
    <w:rsid w:val="007B6B71"/>
    <w:rsid w:val="007B7C0D"/>
    <w:rsid w:val="007C0E3F"/>
    <w:rsid w:val="007C1806"/>
    <w:rsid w:val="007C206C"/>
    <w:rsid w:val="007C2F1A"/>
    <w:rsid w:val="007C2F6A"/>
    <w:rsid w:val="007C3267"/>
    <w:rsid w:val="007C4301"/>
    <w:rsid w:val="007C507B"/>
    <w:rsid w:val="007C5729"/>
    <w:rsid w:val="007C58DA"/>
    <w:rsid w:val="007C745A"/>
    <w:rsid w:val="007D0088"/>
    <w:rsid w:val="007D13DE"/>
    <w:rsid w:val="007D19A3"/>
    <w:rsid w:val="007D336C"/>
    <w:rsid w:val="007D46DF"/>
    <w:rsid w:val="007D69B9"/>
    <w:rsid w:val="007D6CA6"/>
    <w:rsid w:val="007E1310"/>
    <w:rsid w:val="007E274E"/>
    <w:rsid w:val="007E3B3E"/>
    <w:rsid w:val="007E425D"/>
    <w:rsid w:val="007E4D06"/>
    <w:rsid w:val="007E5602"/>
    <w:rsid w:val="007E7170"/>
    <w:rsid w:val="007E7261"/>
    <w:rsid w:val="007F009E"/>
    <w:rsid w:val="007F05DB"/>
    <w:rsid w:val="007F15AC"/>
    <w:rsid w:val="007F1A02"/>
    <w:rsid w:val="007F2517"/>
    <w:rsid w:val="007F352A"/>
    <w:rsid w:val="007F4F8D"/>
    <w:rsid w:val="007F5CEE"/>
    <w:rsid w:val="007F704C"/>
    <w:rsid w:val="007F733A"/>
    <w:rsid w:val="00801E81"/>
    <w:rsid w:val="00802A84"/>
    <w:rsid w:val="0080352E"/>
    <w:rsid w:val="00803694"/>
    <w:rsid w:val="00803B6A"/>
    <w:rsid w:val="0080419E"/>
    <w:rsid w:val="00804878"/>
    <w:rsid w:val="00805692"/>
    <w:rsid w:val="00807DD1"/>
    <w:rsid w:val="00810952"/>
    <w:rsid w:val="008111E4"/>
    <w:rsid w:val="00811CE6"/>
    <w:rsid w:val="00812A41"/>
    <w:rsid w:val="00812ACC"/>
    <w:rsid w:val="0081301C"/>
    <w:rsid w:val="00813D93"/>
    <w:rsid w:val="00814305"/>
    <w:rsid w:val="00814E07"/>
    <w:rsid w:val="0081594E"/>
    <w:rsid w:val="00816489"/>
    <w:rsid w:val="00817DD6"/>
    <w:rsid w:val="00817E8A"/>
    <w:rsid w:val="008210B1"/>
    <w:rsid w:val="0082277F"/>
    <w:rsid w:val="008236C4"/>
    <w:rsid w:val="00824C49"/>
    <w:rsid w:val="008253A7"/>
    <w:rsid w:val="00836E9D"/>
    <w:rsid w:val="00841C02"/>
    <w:rsid w:val="008430D5"/>
    <w:rsid w:val="00844DCC"/>
    <w:rsid w:val="00845741"/>
    <w:rsid w:val="00846731"/>
    <w:rsid w:val="008468FB"/>
    <w:rsid w:val="008473DA"/>
    <w:rsid w:val="008501D1"/>
    <w:rsid w:val="00850C5F"/>
    <w:rsid w:val="008522CB"/>
    <w:rsid w:val="00853513"/>
    <w:rsid w:val="0085557F"/>
    <w:rsid w:val="008557AD"/>
    <w:rsid w:val="00856B36"/>
    <w:rsid w:val="008600EB"/>
    <w:rsid w:val="008629A9"/>
    <w:rsid w:val="00862F7C"/>
    <w:rsid w:val="008635FB"/>
    <w:rsid w:val="008642A2"/>
    <w:rsid w:val="00864511"/>
    <w:rsid w:val="00871D26"/>
    <w:rsid w:val="00873253"/>
    <w:rsid w:val="00873294"/>
    <w:rsid w:val="00874CBC"/>
    <w:rsid w:val="00876443"/>
    <w:rsid w:val="00881A65"/>
    <w:rsid w:val="00883096"/>
    <w:rsid w:val="00883931"/>
    <w:rsid w:val="00884DC7"/>
    <w:rsid w:val="0088513A"/>
    <w:rsid w:val="0088513C"/>
    <w:rsid w:val="00887684"/>
    <w:rsid w:val="00887FC5"/>
    <w:rsid w:val="00891AFA"/>
    <w:rsid w:val="00891C7D"/>
    <w:rsid w:val="00893635"/>
    <w:rsid w:val="0089367C"/>
    <w:rsid w:val="00893C19"/>
    <w:rsid w:val="008952E9"/>
    <w:rsid w:val="00895C86"/>
    <w:rsid w:val="008960C3"/>
    <w:rsid w:val="0089675B"/>
    <w:rsid w:val="008A075B"/>
    <w:rsid w:val="008A0B3C"/>
    <w:rsid w:val="008A13D8"/>
    <w:rsid w:val="008A3853"/>
    <w:rsid w:val="008A396C"/>
    <w:rsid w:val="008A6320"/>
    <w:rsid w:val="008B0170"/>
    <w:rsid w:val="008B12DE"/>
    <w:rsid w:val="008B1DB9"/>
    <w:rsid w:val="008B21DC"/>
    <w:rsid w:val="008B22ED"/>
    <w:rsid w:val="008B3949"/>
    <w:rsid w:val="008B5597"/>
    <w:rsid w:val="008B629E"/>
    <w:rsid w:val="008B7597"/>
    <w:rsid w:val="008C30E4"/>
    <w:rsid w:val="008C3B5C"/>
    <w:rsid w:val="008C3F26"/>
    <w:rsid w:val="008C5265"/>
    <w:rsid w:val="008C599D"/>
    <w:rsid w:val="008C7B60"/>
    <w:rsid w:val="008D01C6"/>
    <w:rsid w:val="008D0F13"/>
    <w:rsid w:val="008D14C4"/>
    <w:rsid w:val="008D1DA9"/>
    <w:rsid w:val="008D1DBE"/>
    <w:rsid w:val="008D21EF"/>
    <w:rsid w:val="008D29FE"/>
    <w:rsid w:val="008D509A"/>
    <w:rsid w:val="008D53DC"/>
    <w:rsid w:val="008D6698"/>
    <w:rsid w:val="008D6C8D"/>
    <w:rsid w:val="008D70DF"/>
    <w:rsid w:val="008E0014"/>
    <w:rsid w:val="008E077D"/>
    <w:rsid w:val="008E2B54"/>
    <w:rsid w:val="008E2C2E"/>
    <w:rsid w:val="008E3BFF"/>
    <w:rsid w:val="008E4404"/>
    <w:rsid w:val="008E4AC7"/>
    <w:rsid w:val="008E4B3B"/>
    <w:rsid w:val="008E58C7"/>
    <w:rsid w:val="008E5CEC"/>
    <w:rsid w:val="008E5F9F"/>
    <w:rsid w:val="008E65FB"/>
    <w:rsid w:val="008E6A81"/>
    <w:rsid w:val="008E773E"/>
    <w:rsid w:val="008F0B6A"/>
    <w:rsid w:val="008F2832"/>
    <w:rsid w:val="008F5021"/>
    <w:rsid w:val="0090017D"/>
    <w:rsid w:val="00900683"/>
    <w:rsid w:val="009030D0"/>
    <w:rsid w:val="00907E00"/>
    <w:rsid w:val="009120AB"/>
    <w:rsid w:val="009122AB"/>
    <w:rsid w:val="00913DE1"/>
    <w:rsid w:val="00913E3B"/>
    <w:rsid w:val="009156B9"/>
    <w:rsid w:val="00915EB7"/>
    <w:rsid w:val="00916BE2"/>
    <w:rsid w:val="00924EA2"/>
    <w:rsid w:val="00925EA5"/>
    <w:rsid w:val="00927722"/>
    <w:rsid w:val="00930248"/>
    <w:rsid w:val="00930666"/>
    <w:rsid w:val="00931253"/>
    <w:rsid w:val="00932466"/>
    <w:rsid w:val="00933146"/>
    <w:rsid w:val="00933732"/>
    <w:rsid w:val="009343E3"/>
    <w:rsid w:val="00940AC0"/>
    <w:rsid w:val="00942A23"/>
    <w:rsid w:val="00942B9F"/>
    <w:rsid w:val="00943573"/>
    <w:rsid w:val="00943E5C"/>
    <w:rsid w:val="009441BD"/>
    <w:rsid w:val="00945829"/>
    <w:rsid w:val="00945D0E"/>
    <w:rsid w:val="00946244"/>
    <w:rsid w:val="00946586"/>
    <w:rsid w:val="00947555"/>
    <w:rsid w:val="0095036A"/>
    <w:rsid w:val="00950C0F"/>
    <w:rsid w:val="00951300"/>
    <w:rsid w:val="00952B8A"/>
    <w:rsid w:val="00952F0D"/>
    <w:rsid w:val="009560B4"/>
    <w:rsid w:val="0095718F"/>
    <w:rsid w:val="00957547"/>
    <w:rsid w:val="009579A2"/>
    <w:rsid w:val="009616F9"/>
    <w:rsid w:val="00962B01"/>
    <w:rsid w:val="00962D7C"/>
    <w:rsid w:val="00962FC7"/>
    <w:rsid w:val="00963497"/>
    <w:rsid w:val="00963B49"/>
    <w:rsid w:val="00964A2D"/>
    <w:rsid w:val="00965163"/>
    <w:rsid w:val="00965B2A"/>
    <w:rsid w:val="00971690"/>
    <w:rsid w:val="00971A37"/>
    <w:rsid w:val="00971B61"/>
    <w:rsid w:val="00971DFA"/>
    <w:rsid w:val="00971F6F"/>
    <w:rsid w:val="00973145"/>
    <w:rsid w:val="0097341D"/>
    <w:rsid w:val="00973DE7"/>
    <w:rsid w:val="00974389"/>
    <w:rsid w:val="0097538B"/>
    <w:rsid w:val="009753CA"/>
    <w:rsid w:val="00975A70"/>
    <w:rsid w:val="00976BC8"/>
    <w:rsid w:val="00980C31"/>
    <w:rsid w:val="00980D41"/>
    <w:rsid w:val="0098265A"/>
    <w:rsid w:val="0098322F"/>
    <w:rsid w:val="00984319"/>
    <w:rsid w:val="009863DA"/>
    <w:rsid w:val="0098640A"/>
    <w:rsid w:val="0098656F"/>
    <w:rsid w:val="009867BF"/>
    <w:rsid w:val="009871B5"/>
    <w:rsid w:val="009901F8"/>
    <w:rsid w:val="00992E9C"/>
    <w:rsid w:val="00994403"/>
    <w:rsid w:val="009954BF"/>
    <w:rsid w:val="009955FF"/>
    <w:rsid w:val="009956A5"/>
    <w:rsid w:val="0099636B"/>
    <w:rsid w:val="00996704"/>
    <w:rsid w:val="00997293"/>
    <w:rsid w:val="0099775B"/>
    <w:rsid w:val="00997E40"/>
    <w:rsid w:val="009A0730"/>
    <w:rsid w:val="009A75E7"/>
    <w:rsid w:val="009B1362"/>
    <w:rsid w:val="009B234D"/>
    <w:rsid w:val="009B419A"/>
    <w:rsid w:val="009B4402"/>
    <w:rsid w:val="009C1D1F"/>
    <w:rsid w:val="009C5425"/>
    <w:rsid w:val="009C556D"/>
    <w:rsid w:val="009C5FFA"/>
    <w:rsid w:val="009C62CE"/>
    <w:rsid w:val="009C7A81"/>
    <w:rsid w:val="009D0C77"/>
    <w:rsid w:val="009D2539"/>
    <w:rsid w:val="009D259D"/>
    <w:rsid w:val="009D29CA"/>
    <w:rsid w:val="009D33B4"/>
    <w:rsid w:val="009D390E"/>
    <w:rsid w:val="009D629B"/>
    <w:rsid w:val="009D6A07"/>
    <w:rsid w:val="009E014A"/>
    <w:rsid w:val="009E31AE"/>
    <w:rsid w:val="009E545D"/>
    <w:rsid w:val="009E633F"/>
    <w:rsid w:val="009E6D1F"/>
    <w:rsid w:val="009E7A7A"/>
    <w:rsid w:val="009F352A"/>
    <w:rsid w:val="009F3BD3"/>
    <w:rsid w:val="009F5698"/>
    <w:rsid w:val="009F588D"/>
    <w:rsid w:val="009F631A"/>
    <w:rsid w:val="00A0017A"/>
    <w:rsid w:val="00A0058C"/>
    <w:rsid w:val="00A011A2"/>
    <w:rsid w:val="00A032F8"/>
    <w:rsid w:val="00A03D56"/>
    <w:rsid w:val="00A046CE"/>
    <w:rsid w:val="00A05B87"/>
    <w:rsid w:val="00A13DD0"/>
    <w:rsid w:val="00A23994"/>
    <w:rsid w:val="00A24F7A"/>
    <w:rsid w:val="00A31D5B"/>
    <w:rsid w:val="00A33040"/>
    <w:rsid w:val="00A33477"/>
    <w:rsid w:val="00A33816"/>
    <w:rsid w:val="00A3437F"/>
    <w:rsid w:val="00A35866"/>
    <w:rsid w:val="00A377C2"/>
    <w:rsid w:val="00A4140B"/>
    <w:rsid w:val="00A414A2"/>
    <w:rsid w:val="00A41DB3"/>
    <w:rsid w:val="00A423CF"/>
    <w:rsid w:val="00A45527"/>
    <w:rsid w:val="00A458CF"/>
    <w:rsid w:val="00A45BC9"/>
    <w:rsid w:val="00A46FD6"/>
    <w:rsid w:val="00A50D9D"/>
    <w:rsid w:val="00A52608"/>
    <w:rsid w:val="00A52968"/>
    <w:rsid w:val="00A52D64"/>
    <w:rsid w:val="00A53000"/>
    <w:rsid w:val="00A535AB"/>
    <w:rsid w:val="00A545C6"/>
    <w:rsid w:val="00A54946"/>
    <w:rsid w:val="00A549EE"/>
    <w:rsid w:val="00A54B3C"/>
    <w:rsid w:val="00A54DBB"/>
    <w:rsid w:val="00A55BD4"/>
    <w:rsid w:val="00A55CB2"/>
    <w:rsid w:val="00A56ED2"/>
    <w:rsid w:val="00A57C0F"/>
    <w:rsid w:val="00A624EC"/>
    <w:rsid w:val="00A631A7"/>
    <w:rsid w:val="00A641D7"/>
    <w:rsid w:val="00A6423E"/>
    <w:rsid w:val="00A64859"/>
    <w:rsid w:val="00A650CF"/>
    <w:rsid w:val="00A652D0"/>
    <w:rsid w:val="00A65C0A"/>
    <w:rsid w:val="00A673B2"/>
    <w:rsid w:val="00A67767"/>
    <w:rsid w:val="00A67E3D"/>
    <w:rsid w:val="00A71A4F"/>
    <w:rsid w:val="00A75001"/>
    <w:rsid w:val="00A75F87"/>
    <w:rsid w:val="00A76764"/>
    <w:rsid w:val="00A80641"/>
    <w:rsid w:val="00A807A4"/>
    <w:rsid w:val="00A80924"/>
    <w:rsid w:val="00A81002"/>
    <w:rsid w:val="00A81313"/>
    <w:rsid w:val="00A8239B"/>
    <w:rsid w:val="00A83B26"/>
    <w:rsid w:val="00A84D92"/>
    <w:rsid w:val="00A9088B"/>
    <w:rsid w:val="00A90D31"/>
    <w:rsid w:val="00A911BC"/>
    <w:rsid w:val="00A92327"/>
    <w:rsid w:val="00A92808"/>
    <w:rsid w:val="00A93D94"/>
    <w:rsid w:val="00A93DC8"/>
    <w:rsid w:val="00A94FB1"/>
    <w:rsid w:val="00A95D8B"/>
    <w:rsid w:val="00A962D6"/>
    <w:rsid w:val="00A97760"/>
    <w:rsid w:val="00A978B4"/>
    <w:rsid w:val="00AA5557"/>
    <w:rsid w:val="00AA5600"/>
    <w:rsid w:val="00AB0D27"/>
    <w:rsid w:val="00AB444A"/>
    <w:rsid w:val="00AB7BE1"/>
    <w:rsid w:val="00AB7DF1"/>
    <w:rsid w:val="00AC0270"/>
    <w:rsid w:val="00AC103A"/>
    <w:rsid w:val="00AC1245"/>
    <w:rsid w:val="00AC2AEF"/>
    <w:rsid w:val="00AC3EA3"/>
    <w:rsid w:val="00AC5AE9"/>
    <w:rsid w:val="00AC792D"/>
    <w:rsid w:val="00AD06AE"/>
    <w:rsid w:val="00AD06BB"/>
    <w:rsid w:val="00AD20E2"/>
    <w:rsid w:val="00AD321F"/>
    <w:rsid w:val="00AD368F"/>
    <w:rsid w:val="00AD7BD3"/>
    <w:rsid w:val="00AE00CF"/>
    <w:rsid w:val="00AE25E8"/>
    <w:rsid w:val="00AE3184"/>
    <w:rsid w:val="00AE357D"/>
    <w:rsid w:val="00AE3EAD"/>
    <w:rsid w:val="00AE4BBD"/>
    <w:rsid w:val="00AE5A5F"/>
    <w:rsid w:val="00AE6001"/>
    <w:rsid w:val="00AF18CE"/>
    <w:rsid w:val="00AF2AD0"/>
    <w:rsid w:val="00AF49B4"/>
    <w:rsid w:val="00AF63A4"/>
    <w:rsid w:val="00AF67A3"/>
    <w:rsid w:val="00AF6AF3"/>
    <w:rsid w:val="00B00793"/>
    <w:rsid w:val="00B0111D"/>
    <w:rsid w:val="00B01B1C"/>
    <w:rsid w:val="00B01E56"/>
    <w:rsid w:val="00B0432F"/>
    <w:rsid w:val="00B0587F"/>
    <w:rsid w:val="00B07D31"/>
    <w:rsid w:val="00B104A1"/>
    <w:rsid w:val="00B107E3"/>
    <w:rsid w:val="00B123DA"/>
    <w:rsid w:val="00B1560C"/>
    <w:rsid w:val="00B16CB8"/>
    <w:rsid w:val="00B20429"/>
    <w:rsid w:val="00B2162F"/>
    <w:rsid w:val="00B261CC"/>
    <w:rsid w:val="00B318D7"/>
    <w:rsid w:val="00B3259E"/>
    <w:rsid w:val="00B33892"/>
    <w:rsid w:val="00B344E9"/>
    <w:rsid w:val="00B35191"/>
    <w:rsid w:val="00B3524B"/>
    <w:rsid w:val="00B36D10"/>
    <w:rsid w:val="00B378E1"/>
    <w:rsid w:val="00B37FF9"/>
    <w:rsid w:val="00B41293"/>
    <w:rsid w:val="00B417D5"/>
    <w:rsid w:val="00B42133"/>
    <w:rsid w:val="00B426DE"/>
    <w:rsid w:val="00B436F3"/>
    <w:rsid w:val="00B43B06"/>
    <w:rsid w:val="00B46E99"/>
    <w:rsid w:val="00B4701F"/>
    <w:rsid w:val="00B5301D"/>
    <w:rsid w:val="00B532F3"/>
    <w:rsid w:val="00B57201"/>
    <w:rsid w:val="00B633FF"/>
    <w:rsid w:val="00B63C30"/>
    <w:rsid w:val="00B642A9"/>
    <w:rsid w:val="00B642B6"/>
    <w:rsid w:val="00B65375"/>
    <w:rsid w:val="00B657B8"/>
    <w:rsid w:val="00B66180"/>
    <w:rsid w:val="00B66FBD"/>
    <w:rsid w:val="00B7197E"/>
    <w:rsid w:val="00B71F87"/>
    <w:rsid w:val="00B72D5E"/>
    <w:rsid w:val="00B73932"/>
    <w:rsid w:val="00B764F2"/>
    <w:rsid w:val="00B7720B"/>
    <w:rsid w:val="00B809C1"/>
    <w:rsid w:val="00B81592"/>
    <w:rsid w:val="00B81D69"/>
    <w:rsid w:val="00B839EF"/>
    <w:rsid w:val="00B84920"/>
    <w:rsid w:val="00B84E4D"/>
    <w:rsid w:val="00B85460"/>
    <w:rsid w:val="00B8556A"/>
    <w:rsid w:val="00B855CE"/>
    <w:rsid w:val="00B86810"/>
    <w:rsid w:val="00B879A2"/>
    <w:rsid w:val="00B91088"/>
    <w:rsid w:val="00B916CB"/>
    <w:rsid w:val="00B921F0"/>
    <w:rsid w:val="00B9235B"/>
    <w:rsid w:val="00B94046"/>
    <w:rsid w:val="00B94239"/>
    <w:rsid w:val="00B9628E"/>
    <w:rsid w:val="00B97D83"/>
    <w:rsid w:val="00BA1A75"/>
    <w:rsid w:val="00BA1FE4"/>
    <w:rsid w:val="00BA2B7B"/>
    <w:rsid w:val="00BA6531"/>
    <w:rsid w:val="00BA66B5"/>
    <w:rsid w:val="00BA72C0"/>
    <w:rsid w:val="00BA7C7E"/>
    <w:rsid w:val="00BB09AB"/>
    <w:rsid w:val="00BB37B7"/>
    <w:rsid w:val="00BB42E8"/>
    <w:rsid w:val="00BB49B7"/>
    <w:rsid w:val="00BB6138"/>
    <w:rsid w:val="00BB6C9E"/>
    <w:rsid w:val="00BC0CD7"/>
    <w:rsid w:val="00BC1559"/>
    <w:rsid w:val="00BC1FF3"/>
    <w:rsid w:val="00BC272D"/>
    <w:rsid w:val="00BC467E"/>
    <w:rsid w:val="00BC4B8A"/>
    <w:rsid w:val="00BC5936"/>
    <w:rsid w:val="00BC7BD1"/>
    <w:rsid w:val="00BC7CE1"/>
    <w:rsid w:val="00BD0B53"/>
    <w:rsid w:val="00BD24B6"/>
    <w:rsid w:val="00BD31C3"/>
    <w:rsid w:val="00BD3913"/>
    <w:rsid w:val="00BD5DE9"/>
    <w:rsid w:val="00BD6397"/>
    <w:rsid w:val="00BD682E"/>
    <w:rsid w:val="00BE06D6"/>
    <w:rsid w:val="00BE4DA4"/>
    <w:rsid w:val="00BE6F15"/>
    <w:rsid w:val="00BF05F9"/>
    <w:rsid w:val="00BF0BCB"/>
    <w:rsid w:val="00BF1B74"/>
    <w:rsid w:val="00BF207D"/>
    <w:rsid w:val="00BF290F"/>
    <w:rsid w:val="00BF3187"/>
    <w:rsid w:val="00BF6AA6"/>
    <w:rsid w:val="00BF6C8B"/>
    <w:rsid w:val="00BF7D65"/>
    <w:rsid w:val="00BF7E31"/>
    <w:rsid w:val="00C012A3"/>
    <w:rsid w:val="00C01A53"/>
    <w:rsid w:val="00C03887"/>
    <w:rsid w:val="00C03A1E"/>
    <w:rsid w:val="00C06E76"/>
    <w:rsid w:val="00C07588"/>
    <w:rsid w:val="00C07F45"/>
    <w:rsid w:val="00C10622"/>
    <w:rsid w:val="00C10634"/>
    <w:rsid w:val="00C1116E"/>
    <w:rsid w:val="00C116FC"/>
    <w:rsid w:val="00C158B1"/>
    <w:rsid w:val="00C16F19"/>
    <w:rsid w:val="00C17F6D"/>
    <w:rsid w:val="00C24224"/>
    <w:rsid w:val="00C24E2C"/>
    <w:rsid w:val="00C2536F"/>
    <w:rsid w:val="00C25679"/>
    <w:rsid w:val="00C2635A"/>
    <w:rsid w:val="00C321C1"/>
    <w:rsid w:val="00C33D89"/>
    <w:rsid w:val="00C34803"/>
    <w:rsid w:val="00C348D8"/>
    <w:rsid w:val="00C36A0B"/>
    <w:rsid w:val="00C40B61"/>
    <w:rsid w:val="00C41D01"/>
    <w:rsid w:val="00C44A95"/>
    <w:rsid w:val="00C44B4C"/>
    <w:rsid w:val="00C454FB"/>
    <w:rsid w:val="00C46722"/>
    <w:rsid w:val="00C467A4"/>
    <w:rsid w:val="00C46A7D"/>
    <w:rsid w:val="00C5130F"/>
    <w:rsid w:val="00C51BB0"/>
    <w:rsid w:val="00C523AC"/>
    <w:rsid w:val="00C527D6"/>
    <w:rsid w:val="00C528BB"/>
    <w:rsid w:val="00C52A7B"/>
    <w:rsid w:val="00C538F5"/>
    <w:rsid w:val="00C55ECE"/>
    <w:rsid w:val="00C56660"/>
    <w:rsid w:val="00C568CD"/>
    <w:rsid w:val="00C6324C"/>
    <w:rsid w:val="00C679AA"/>
    <w:rsid w:val="00C7061C"/>
    <w:rsid w:val="00C7071D"/>
    <w:rsid w:val="00C724CF"/>
    <w:rsid w:val="00C7490A"/>
    <w:rsid w:val="00C75972"/>
    <w:rsid w:val="00C81879"/>
    <w:rsid w:val="00C82482"/>
    <w:rsid w:val="00C82792"/>
    <w:rsid w:val="00C87048"/>
    <w:rsid w:val="00C87556"/>
    <w:rsid w:val="00C90345"/>
    <w:rsid w:val="00C90683"/>
    <w:rsid w:val="00C919C8"/>
    <w:rsid w:val="00C93982"/>
    <w:rsid w:val="00C948FD"/>
    <w:rsid w:val="00C96F76"/>
    <w:rsid w:val="00CA1534"/>
    <w:rsid w:val="00CA1942"/>
    <w:rsid w:val="00CA35C9"/>
    <w:rsid w:val="00CA45FE"/>
    <w:rsid w:val="00CA590A"/>
    <w:rsid w:val="00CA5FDD"/>
    <w:rsid w:val="00CA6707"/>
    <w:rsid w:val="00CA7E1A"/>
    <w:rsid w:val="00CB1CB2"/>
    <w:rsid w:val="00CB43D5"/>
    <w:rsid w:val="00CB57A5"/>
    <w:rsid w:val="00CB6385"/>
    <w:rsid w:val="00CB6EDC"/>
    <w:rsid w:val="00CB7695"/>
    <w:rsid w:val="00CC1FFC"/>
    <w:rsid w:val="00CC4A2E"/>
    <w:rsid w:val="00CC574A"/>
    <w:rsid w:val="00CC6BC5"/>
    <w:rsid w:val="00CC76F9"/>
    <w:rsid w:val="00CD066B"/>
    <w:rsid w:val="00CD2CC1"/>
    <w:rsid w:val="00CD46E2"/>
    <w:rsid w:val="00CD4962"/>
    <w:rsid w:val="00CE2C53"/>
    <w:rsid w:val="00CE6C01"/>
    <w:rsid w:val="00CF2FEE"/>
    <w:rsid w:val="00CF42D6"/>
    <w:rsid w:val="00D001EC"/>
    <w:rsid w:val="00D00D0B"/>
    <w:rsid w:val="00D01967"/>
    <w:rsid w:val="00D01C84"/>
    <w:rsid w:val="00D02577"/>
    <w:rsid w:val="00D04345"/>
    <w:rsid w:val="00D04438"/>
    <w:rsid w:val="00D04B69"/>
    <w:rsid w:val="00D04BB1"/>
    <w:rsid w:val="00D05D20"/>
    <w:rsid w:val="00D071B2"/>
    <w:rsid w:val="00D1232E"/>
    <w:rsid w:val="00D1449D"/>
    <w:rsid w:val="00D149C2"/>
    <w:rsid w:val="00D15DD0"/>
    <w:rsid w:val="00D16DF9"/>
    <w:rsid w:val="00D2015B"/>
    <w:rsid w:val="00D21328"/>
    <w:rsid w:val="00D2176E"/>
    <w:rsid w:val="00D23526"/>
    <w:rsid w:val="00D24239"/>
    <w:rsid w:val="00D30043"/>
    <w:rsid w:val="00D314FB"/>
    <w:rsid w:val="00D31596"/>
    <w:rsid w:val="00D317EC"/>
    <w:rsid w:val="00D34BC6"/>
    <w:rsid w:val="00D42433"/>
    <w:rsid w:val="00D44E45"/>
    <w:rsid w:val="00D46F18"/>
    <w:rsid w:val="00D5212B"/>
    <w:rsid w:val="00D52354"/>
    <w:rsid w:val="00D537FA"/>
    <w:rsid w:val="00D54752"/>
    <w:rsid w:val="00D5547D"/>
    <w:rsid w:val="00D56AB8"/>
    <w:rsid w:val="00D62352"/>
    <w:rsid w:val="00D64261"/>
    <w:rsid w:val="00D64D34"/>
    <w:rsid w:val="00D64FB2"/>
    <w:rsid w:val="00D6749A"/>
    <w:rsid w:val="00D676D0"/>
    <w:rsid w:val="00D70683"/>
    <w:rsid w:val="00D7092F"/>
    <w:rsid w:val="00D71798"/>
    <w:rsid w:val="00D71AAA"/>
    <w:rsid w:val="00D72920"/>
    <w:rsid w:val="00D74BEF"/>
    <w:rsid w:val="00D74E6F"/>
    <w:rsid w:val="00D7677B"/>
    <w:rsid w:val="00D76EFD"/>
    <w:rsid w:val="00D777C0"/>
    <w:rsid w:val="00D800A5"/>
    <w:rsid w:val="00D80D99"/>
    <w:rsid w:val="00D81C4E"/>
    <w:rsid w:val="00D845DE"/>
    <w:rsid w:val="00D84CBC"/>
    <w:rsid w:val="00D90DE1"/>
    <w:rsid w:val="00D91FE5"/>
    <w:rsid w:val="00D93D8E"/>
    <w:rsid w:val="00D9439F"/>
    <w:rsid w:val="00D9503C"/>
    <w:rsid w:val="00D95A3E"/>
    <w:rsid w:val="00DA0342"/>
    <w:rsid w:val="00DA31FB"/>
    <w:rsid w:val="00DA3682"/>
    <w:rsid w:val="00DA6A3C"/>
    <w:rsid w:val="00DA6E29"/>
    <w:rsid w:val="00DA6E2B"/>
    <w:rsid w:val="00DA796F"/>
    <w:rsid w:val="00DB07AB"/>
    <w:rsid w:val="00DB352B"/>
    <w:rsid w:val="00DB4000"/>
    <w:rsid w:val="00DB6B14"/>
    <w:rsid w:val="00DB6B88"/>
    <w:rsid w:val="00DC1972"/>
    <w:rsid w:val="00DC6C0A"/>
    <w:rsid w:val="00DC6E75"/>
    <w:rsid w:val="00DC6F77"/>
    <w:rsid w:val="00DD182C"/>
    <w:rsid w:val="00DD21AB"/>
    <w:rsid w:val="00DD486A"/>
    <w:rsid w:val="00DD6640"/>
    <w:rsid w:val="00DD73EF"/>
    <w:rsid w:val="00DD7F99"/>
    <w:rsid w:val="00DE0C13"/>
    <w:rsid w:val="00DE0D4F"/>
    <w:rsid w:val="00DE0FB5"/>
    <w:rsid w:val="00DE112B"/>
    <w:rsid w:val="00DE15A1"/>
    <w:rsid w:val="00DE1BDD"/>
    <w:rsid w:val="00DE23E8"/>
    <w:rsid w:val="00DE3B17"/>
    <w:rsid w:val="00DE6F29"/>
    <w:rsid w:val="00DF03BD"/>
    <w:rsid w:val="00DF0A80"/>
    <w:rsid w:val="00DF62A8"/>
    <w:rsid w:val="00DF6BAE"/>
    <w:rsid w:val="00DF7A6B"/>
    <w:rsid w:val="00E00440"/>
    <w:rsid w:val="00E0128B"/>
    <w:rsid w:val="00E03028"/>
    <w:rsid w:val="00E038F0"/>
    <w:rsid w:val="00E03E88"/>
    <w:rsid w:val="00E04BF2"/>
    <w:rsid w:val="00E059AD"/>
    <w:rsid w:val="00E06618"/>
    <w:rsid w:val="00E06B02"/>
    <w:rsid w:val="00E07D4E"/>
    <w:rsid w:val="00E116DA"/>
    <w:rsid w:val="00E12B5D"/>
    <w:rsid w:val="00E13B1E"/>
    <w:rsid w:val="00E1420A"/>
    <w:rsid w:val="00E1601E"/>
    <w:rsid w:val="00E16B11"/>
    <w:rsid w:val="00E20104"/>
    <w:rsid w:val="00E204A0"/>
    <w:rsid w:val="00E227C4"/>
    <w:rsid w:val="00E23678"/>
    <w:rsid w:val="00E2441E"/>
    <w:rsid w:val="00E26174"/>
    <w:rsid w:val="00E27100"/>
    <w:rsid w:val="00E279CC"/>
    <w:rsid w:val="00E30C4E"/>
    <w:rsid w:val="00E32D8A"/>
    <w:rsid w:val="00E373F0"/>
    <w:rsid w:val="00E41C1D"/>
    <w:rsid w:val="00E469B6"/>
    <w:rsid w:val="00E4770E"/>
    <w:rsid w:val="00E50F01"/>
    <w:rsid w:val="00E5111F"/>
    <w:rsid w:val="00E52EA3"/>
    <w:rsid w:val="00E55CAB"/>
    <w:rsid w:val="00E56707"/>
    <w:rsid w:val="00E56869"/>
    <w:rsid w:val="00E57B5C"/>
    <w:rsid w:val="00E622F6"/>
    <w:rsid w:val="00E632BD"/>
    <w:rsid w:val="00E64210"/>
    <w:rsid w:val="00E644F5"/>
    <w:rsid w:val="00E64E17"/>
    <w:rsid w:val="00E66E44"/>
    <w:rsid w:val="00E707D6"/>
    <w:rsid w:val="00E71F2C"/>
    <w:rsid w:val="00E72F82"/>
    <w:rsid w:val="00E72FD1"/>
    <w:rsid w:val="00E77302"/>
    <w:rsid w:val="00E81294"/>
    <w:rsid w:val="00E8174A"/>
    <w:rsid w:val="00E82FF8"/>
    <w:rsid w:val="00E837CA"/>
    <w:rsid w:val="00E83B7B"/>
    <w:rsid w:val="00E8717C"/>
    <w:rsid w:val="00E87276"/>
    <w:rsid w:val="00E95BC7"/>
    <w:rsid w:val="00E96825"/>
    <w:rsid w:val="00E97E79"/>
    <w:rsid w:val="00EA0B73"/>
    <w:rsid w:val="00EA161F"/>
    <w:rsid w:val="00EA2FAE"/>
    <w:rsid w:val="00EA30BF"/>
    <w:rsid w:val="00EA396D"/>
    <w:rsid w:val="00EA3D3C"/>
    <w:rsid w:val="00EA54DF"/>
    <w:rsid w:val="00EB0E67"/>
    <w:rsid w:val="00EB13AB"/>
    <w:rsid w:val="00EB1E03"/>
    <w:rsid w:val="00EB25AF"/>
    <w:rsid w:val="00EB2636"/>
    <w:rsid w:val="00EB3255"/>
    <w:rsid w:val="00EB3277"/>
    <w:rsid w:val="00EB4F6B"/>
    <w:rsid w:val="00EB5BCD"/>
    <w:rsid w:val="00EB68F3"/>
    <w:rsid w:val="00EC0589"/>
    <w:rsid w:val="00EC2188"/>
    <w:rsid w:val="00EC6E0D"/>
    <w:rsid w:val="00EC7CC3"/>
    <w:rsid w:val="00ED2EA1"/>
    <w:rsid w:val="00ED4587"/>
    <w:rsid w:val="00ED53A0"/>
    <w:rsid w:val="00ED7540"/>
    <w:rsid w:val="00ED79DE"/>
    <w:rsid w:val="00EE196F"/>
    <w:rsid w:val="00EE2927"/>
    <w:rsid w:val="00EE2D9D"/>
    <w:rsid w:val="00EE2F48"/>
    <w:rsid w:val="00EE3986"/>
    <w:rsid w:val="00EE4DBF"/>
    <w:rsid w:val="00EE5DAD"/>
    <w:rsid w:val="00EE5F0B"/>
    <w:rsid w:val="00EE7FDE"/>
    <w:rsid w:val="00EF0956"/>
    <w:rsid w:val="00EF131C"/>
    <w:rsid w:val="00EF35D0"/>
    <w:rsid w:val="00EF38B6"/>
    <w:rsid w:val="00EF4255"/>
    <w:rsid w:val="00EF4FF1"/>
    <w:rsid w:val="00EF5DAF"/>
    <w:rsid w:val="00EF694D"/>
    <w:rsid w:val="00EF6D80"/>
    <w:rsid w:val="00EF7DA0"/>
    <w:rsid w:val="00F0055C"/>
    <w:rsid w:val="00F00BE2"/>
    <w:rsid w:val="00F00E2E"/>
    <w:rsid w:val="00F01B45"/>
    <w:rsid w:val="00F01D29"/>
    <w:rsid w:val="00F02A28"/>
    <w:rsid w:val="00F02F2A"/>
    <w:rsid w:val="00F04635"/>
    <w:rsid w:val="00F061F2"/>
    <w:rsid w:val="00F06B09"/>
    <w:rsid w:val="00F101A5"/>
    <w:rsid w:val="00F10BDD"/>
    <w:rsid w:val="00F1128F"/>
    <w:rsid w:val="00F1271D"/>
    <w:rsid w:val="00F14FF5"/>
    <w:rsid w:val="00F15C43"/>
    <w:rsid w:val="00F17D34"/>
    <w:rsid w:val="00F17E1B"/>
    <w:rsid w:val="00F23E75"/>
    <w:rsid w:val="00F2479F"/>
    <w:rsid w:val="00F24A9A"/>
    <w:rsid w:val="00F24E06"/>
    <w:rsid w:val="00F2535F"/>
    <w:rsid w:val="00F306C1"/>
    <w:rsid w:val="00F31F51"/>
    <w:rsid w:val="00F32ACC"/>
    <w:rsid w:val="00F3500F"/>
    <w:rsid w:val="00F40990"/>
    <w:rsid w:val="00F453F5"/>
    <w:rsid w:val="00F4547E"/>
    <w:rsid w:val="00F46494"/>
    <w:rsid w:val="00F468D2"/>
    <w:rsid w:val="00F5275A"/>
    <w:rsid w:val="00F52F16"/>
    <w:rsid w:val="00F551BB"/>
    <w:rsid w:val="00F558AB"/>
    <w:rsid w:val="00F56CEE"/>
    <w:rsid w:val="00F57740"/>
    <w:rsid w:val="00F57EC2"/>
    <w:rsid w:val="00F60EE0"/>
    <w:rsid w:val="00F61667"/>
    <w:rsid w:val="00F61D89"/>
    <w:rsid w:val="00F62750"/>
    <w:rsid w:val="00F62A4A"/>
    <w:rsid w:val="00F63518"/>
    <w:rsid w:val="00F64AB0"/>
    <w:rsid w:val="00F675B3"/>
    <w:rsid w:val="00F67864"/>
    <w:rsid w:val="00F728B4"/>
    <w:rsid w:val="00F72CD1"/>
    <w:rsid w:val="00F7527D"/>
    <w:rsid w:val="00F7590A"/>
    <w:rsid w:val="00F768E7"/>
    <w:rsid w:val="00F76F05"/>
    <w:rsid w:val="00F77678"/>
    <w:rsid w:val="00F8095F"/>
    <w:rsid w:val="00F82D9B"/>
    <w:rsid w:val="00F833D5"/>
    <w:rsid w:val="00F84DBF"/>
    <w:rsid w:val="00F860E4"/>
    <w:rsid w:val="00F86ABB"/>
    <w:rsid w:val="00F86D54"/>
    <w:rsid w:val="00F86D60"/>
    <w:rsid w:val="00F8784E"/>
    <w:rsid w:val="00F8795F"/>
    <w:rsid w:val="00F9336A"/>
    <w:rsid w:val="00F93E38"/>
    <w:rsid w:val="00F9529F"/>
    <w:rsid w:val="00FA1AFE"/>
    <w:rsid w:val="00FA1DD2"/>
    <w:rsid w:val="00FA1F7B"/>
    <w:rsid w:val="00FA376B"/>
    <w:rsid w:val="00FA3E61"/>
    <w:rsid w:val="00FA49AF"/>
    <w:rsid w:val="00FA58CB"/>
    <w:rsid w:val="00FA74FD"/>
    <w:rsid w:val="00FB046C"/>
    <w:rsid w:val="00FB0FF4"/>
    <w:rsid w:val="00FB29E1"/>
    <w:rsid w:val="00FB5637"/>
    <w:rsid w:val="00FC041F"/>
    <w:rsid w:val="00FC19AF"/>
    <w:rsid w:val="00FC267B"/>
    <w:rsid w:val="00FC2944"/>
    <w:rsid w:val="00FC5D11"/>
    <w:rsid w:val="00FC7B25"/>
    <w:rsid w:val="00FD0767"/>
    <w:rsid w:val="00FD124A"/>
    <w:rsid w:val="00FD33A1"/>
    <w:rsid w:val="00FD5BEA"/>
    <w:rsid w:val="00FD7648"/>
    <w:rsid w:val="00FE11A7"/>
    <w:rsid w:val="00FE141E"/>
    <w:rsid w:val="00FE1D4C"/>
    <w:rsid w:val="00FE4DF9"/>
    <w:rsid w:val="00FE58E6"/>
    <w:rsid w:val="00FE608A"/>
    <w:rsid w:val="00FE6BE3"/>
    <w:rsid w:val="00FF0FFD"/>
    <w:rsid w:val="00FF10E2"/>
    <w:rsid w:val="00FF1B21"/>
    <w:rsid w:val="00FF298D"/>
    <w:rsid w:val="00FF2BC4"/>
    <w:rsid w:val="00FF2BFA"/>
    <w:rsid w:val="00FF3108"/>
    <w:rsid w:val="00FF482E"/>
    <w:rsid w:val="00FF4C2A"/>
    <w:rsid w:val="00FF5582"/>
    <w:rsid w:val="00FF6345"/>
    <w:rsid w:val="00FF65E9"/>
    <w:rsid w:val="00FF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A59A7"/>
  <w15:docId w15:val="{B98209AD-3451-4824-82E1-1DFAFFB13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17"/>
      </w:numPr>
      <w:tabs>
        <w:tab w:val="clear" w:pos="1418"/>
        <w:tab w:val="num" w:pos="567"/>
      </w:tabs>
      <w:spacing w:before="240"/>
      <w:ind w:left="567"/>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6B361D"/>
    <w:rPr>
      <w:color w:val="605E5C"/>
      <w:shd w:val="clear" w:color="auto" w:fill="E1DFDD"/>
    </w:rPr>
  </w:style>
  <w:style w:type="paragraph" w:customStyle="1" w:styleId="EndNoteBibliographyTitle">
    <w:name w:val="EndNote Bibliography Title"/>
    <w:basedOn w:val="Normal"/>
    <w:link w:val="EndNoteBibliographyTitleChar"/>
    <w:rsid w:val="006B0F60"/>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6B0F60"/>
    <w:rPr>
      <w:rFonts w:ascii="Times New Roman" w:hAnsi="Times New Roman" w:cs="Times New Roman"/>
      <w:noProof/>
      <w:sz w:val="24"/>
    </w:rPr>
  </w:style>
  <w:style w:type="paragraph" w:customStyle="1" w:styleId="EndNoteBibliography">
    <w:name w:val="EndNote Bibliography"/>
    <w:basedOn w:val="Normal"/>
    <w:link w:val="EndNoteBibliographyChar"/>
    <w:rsid w:val="006B0F60"/>
    <w:rPr>
      <w:rFonts w:cs="Times New Roman"/>
      <w:noProof/>
    </w:rPr>
  </w:style>
  <w:style w:type="character" w:customStyle="1" w:styleId="EndNoteBibliographyChar">
    <w:name w:val="EndNote Bibliography Char"/>
    <w:basedOn w:val="DefaultParagraphFont"/>
    <w:link w:val="EndNoteBibliography"/>
    <w:rsid w:val="006B0F60"/>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326514725">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37843744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83083031">
      <w:bodyDiv w:val="1"/>
      <w:marLeft w:val="0"/>
      <w:marRight w:val="0"/>
      <w:marTop w:val="0"/>
      <w:marBottom w:val="0"/>
      <w:divBdr>
        <w:top w:val="none" w:sz="0" w:space="0" w:color="auto"/>
        <w:left w:val="none" w:sz="0" w:space="0" w:color="auto"/>
        <w:bottom w:val="none" w:sz="0" w:space="0" w:color="auto"/>
        <w:right w:val="none" w:sz="0" w:space="0" w:color="auto"/>
      </w:divBdr>
    </w:div>
    <w:div w:id="1612317663">
      <w:bodyDiv w:val="1"/>
      <w:marLeft w:val="0"/>
      <w:marRight w:val="0"/>
      <w:marTop w:val="0"/>
      <w:marBottom w:val="0"/>
      <w:divBdr>
        <w:top w:val="none" w:sz="0" w:space="0" w:color="auto"/>
        <w:left w:val="none" w:sz="0" w:space="0" w:color="auto"/>
        <w:bottom w:val="none" w:sz="0" w:space="0" w:color="auto"/>
        <w:right w:val="none" w:sz="0" w:space="0" w:color="auto"/>
      </w:divBdr>
    </w:div>
    <w:div w:id="1748842633">
      <w:bodyDiv w:val="1"/>
      <w:marLeft w:val="0"/>
      <w:marRight w:val="0"/>
      <w:marTop w:val="0"/>
      <w:marBottom w:val="0"/>
      <w:divBdr>
        <w:top w:val="none" w:sz="0" w:space="0" w:color="auto"/>
        <w:left w:val="none" w:sz="0" w:space="0" w:color="auto"/>
        <w:bottom w:val="none" w:sz="0" w:space="0" w:color="auto"/>
        <w:right w:val="none" w:sz="0" w:space="0" w:color="auto"/>
      </w:divBdr>
    </w:div>
    <w:div w:id="1762526796">
      <w:bodyDiv w:val="1"/>
      <w:marLeft w:val="0"/>
      <w:marRight w:val="0"/>
      <w:marTop w:val="0"/>
      <w:marBottom w:val="0"/>
      <w:divBdr>
        <w:top w:val="none" w:sz="0" w:space="0" w:color="auto"/>
        <w:left w:val="none" w:sz="0" w:space="0" w:color="auto"/>
        <w:bottom w:val="none" w:sz="0" w:space="0" w:color="auto"/>
        <w:right w:val="none" w:sz="0" w:space="0" w:color="auto"/>
      </w:divBdr>
    </w:div>
    <w:div w:id="1951476125">
      <w:bodyDiv w:val="1"/>
      <w:marLeft w:val="0"/>
      <w:marRight w:val="0"/>
      <w:marTop w:val="0"/>
      <w:marBottom w:val="0"/>
      <w:divBdr>
        <w:top w:val="none" w:sz="0" w:space="0" w:color="auto"/>
        <w:left w:val="none" w:sz="0" w:space="0" w:color="auto"/>
        <w:bottom w:val="none" w:sz="0" w:space="0" w:color="auto"/>
        <w:right w:val="none" w:sz="0" w:space="0" w:color="auto"/>
      </w:divBdr>
    </w:div>
    <w:div w:id="1954900049">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27037991">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Frontiers_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rtin\Box%20Sync\PhD\MFC%20Sensor%20Further%20Development\IfS\Results\OECD%20parameter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OECD!$B$1</c:f>
              <c:strCache>
                <c:ptCount val="1"/>
                <c:pt idx="0">
                  <c:v>OECD</c:v>
                </c:pt>
              </c:strCache>
            </c:strRef>
          </c:tx>
          <c:invertIfNegative val="0"/>
          <c:errBars>
            <c:errBarType val="both"/>
            <c:errValType val="cust"/>
            <c:noEndCap val="0"/>
            <c:plus>
              <c:numRef>
                <c:f>OECD!$E$2:$E$14</c:f>
                <c:numCache>
                  <c:formatCode>General</c:formatCode>
                  <c:ptCount val="13"/>
                  <c:pt idx="0">
                    <c:v>4.6500000000000004</c:v>
                  </c:pt>
                  <c:pt idx="1">
                    <c:v>7.47</c:v>
                  </c:pt>
                  <c:pt idx="2">
                    <c:v>7.95</c:v>
                  </c:pt>
                  <c:pt idx="3">
                    <c:v>9.7799999999999994</c:v>
                  </c:pt>
                  <c:pt idx="4">
                    <c:v>4.9000000000000002E-2</c:v>
                  </c:pt>
                  <c:pt idx="5">
                    <c:v>6.01</c:v>
                  </c:pt>
                  <c:pt idx="6">
                    <c:v>0.02</c:v>
                  </c:pt>
                  <c:pt idx="7">
                    <c:v>2.4900000000000002</c:v>
                  </c:pt>
                  <c:pt idx="8">
                    <c:v>0</c:v>
                  </c:pt>
                  <c:pt idx="9">
                    <c:v>8.14</c:v>
                  </c:pt>
                  <c:pt idx="10">
                    <c:v>2.1800000000000002</c:v>
                  </c:pt>
                  <c:pt idx="11">
                    <c:v>0.28999999999999998</c:v>
                  </c:pt>
                  <c:pt idx="12">
                    <c:v>1.72</c:v>
                  </c:pt>
                </c:numCache>
              </c:numRef>
            </c:plus>
            <c:minus>
              <c:numRef>
                <c:f>OECD!$E$2:$E$14</c:f>
                <c:numCache>
                  <c:formatCode>General</c:formatCode>
                  <c:ptCount val="13"/>
                  <c:pt idx="0">
                    <c:v>4.6500000000000004</c:v>
                  </c:pt>
                  <c:pt idx="1">
                    <c:v>7.47</c:v>
                  </c:pt>
                  <c:pt idx="2">
                    <c:v>7.95</c:v>
                  </c:pt>
                  <c:pt idx="3">
                    <c:v>9.7799999999999994</c:v>
                  </c:pt>
                  <c:pt idx="4">
                    <c:v>4.9000000000000002E-2</c:v>
                  </c:pt>
                  <c:pt idx="5">
                    <c:v>6.01</c:v>
                  </c:pt>
                  <c:pt idx="6">
                    <c:v>0.02</c:v>
                  </c:pt>
                  <c:pt idx="7">
                    <c:v>2.4900000000000002</c:v>
                  </c:pt>
                  <c:pt idx="8">
                    <c:v>0</c:v>
                  </c:pt>
                  <c:pt idx="9">
                    <c:v>8.14</c:v>
                  </c:pt>
                  <c:pt idx="10">
                    <c:v>2.1800000000000002</c:v>
                  </c:pt>
                  <c:pt idx="11">
                    <c:v>0.28999999999999998</c:v>
                  </c:pt>
                  <c:pt idx="12">
                    <c:v>1.72</c:v>
                  </c:pt>
                </c:numCache>
              </c:numRef>
            </c:minus>
          </c:errBars>
          <c:cat>
            <c:strRef>
              <c:f>OECD!$A$2:$A$14</c:f>
              <c:strCache>
                <c:ptCount val="13"/>
                <c:pt idx="0">
                  <c:v>BOD₅</c:v>
                </c:pt>
                <c:pt idx="1">
                  <c:v>COD</c:v>
                </c:pt>
                <c:pt idx="2">
                  <c:v>DOC</c:v>
                </c:pt>
                <c:pt idx="3">
                  <c:v>IC</c:v>
                </c:pt>
                <c:pt idx="4">
                  <c:v>F⁻</c:v>
                </c:pt>
                <c:pt idx="5">
                  <c:v>Cl⁻</c:v>
                </c:pt>
                <c:pt idx="6">
                  <c:v>NO3⁻</c:v>
                </c:pt>
                <c:pt idx="7">
                  <c:v>PO₄³⁻</c:v>
                </c:pt>
                <c:pt idx="8">
                  <c:v>SO₄²⁻</c:v>
                </c:pt>
                <c:pt idx="9">
                  <c:v>Fo</c:v>
                </c:pt>
                <c:pt idx="10">
                  <c:v>Ac</c:v>
                </c:pt>
                <c:pt idx="11">
                  <c:v>Pr</c:v>
                </c:pt>
                <c:pt idx="12">
                  <c:v>i-Bu</c:v>
                </c:pt>
              </c:strCache>
            </c:strRef>
          </c:cat>
          <c:val>
            <c:numRef>
              <c:f>OECD!$B$2:$B$14</c:f>
              <c:numCache>
                <c:formatCode>General</c:formatCode>
                <c:ptCount val="13"/>
                <c:pt idx="0">
                  <c:v>161.57</c:v>
                </c:pt>
                <c:pt idx="1">
                  <c:v>277.56</c:v>
                </c:pt>
                <c:pt idx="2">
                  <c:v>159.77000000000001</c:v>
                </c:pt>
                <c:pt idx="3">
                  <c:v>43.2</c:v>
                </c:pt>
                <c:pt idx="4">
                  <c:v>3.22</c:v>
                </c:pt>
                <c:pt idx="5">
                  <c:v>136.68895257287932</c:v>
                </c:pt>
                <c:pt idx="6">
                  <c:v>4.1100000000000003</c:v>
                </c:pt>
                <c:pt idx="7">
                  <c:v>68.95</c:v>
                </c:pt>
                <c:pt idx="8">
                  <c:v>67.92</c:v>
                </c:pt>
                <c:pt idx="9">
                  <c:v>45.6</c:v>
                </c:pt>
                <c:pt idx="10">
                  <c:v>13.91</c:v>
                </c:pt>
                <c:pt idx="11">
                  <c:v>8.77</c:v>
                </c:pt>
                <c:pt idx="12">
                  <c:v>22.53</c:v>
                </c:pt>
              </c:numCache>
            </c:numRef>
          </c:val>
          <c:extLst>
            <c:ext xmlns:c16="http://schemas.microsoft.com/office/drawing/2014/chart" uri="{C3380CC4-5D6E-409C-BE32-E72D297353CC}">
              <c16:uniqueId val="{00000000-B273-4B70-8AC2-91C6AB2201AB}"/>
            </c:ext>
          </c:extLst>
        </c:ser>
        <c:ser>
          <c:idx val="1"/>
          <c:order val="1"/>
          <c:tx>
            <c:strRef>
              <c:f>OECD!$G$1</c:f>
              <c:strCache>
                <c:ptCount val="1"/>
                <c:pt idx="0">
                  <c:v>WW</c:v>
                </c:pt>
              </c:strCache>
            </c:strRef>
          </c:tx>
          <c:invertIfNegative val="0"/>
          <c:errBars>
            <c:errBarType val="both"/>
            <c:errValType val="cust"/>
            <c:noEndCap val="0"/>
            <c:plus>
              <c:numRef>
                <c:f>OECD!$H$2:$H$14</c:f>
                <c:numCache>
                  <c:formatCode>General</c:formatCode>
                  <c:ptCount val="13"/>
                  <c:pt idx="0">
                    <c:v>56.957403674441892</c:v>
                  </c:pt>
                  <c:pt idx="1">
                    <c:v>2.5</c:v>
                  </c:pt>
                  <c:pt idx="2">
                    <c:v>3.18</c:v>
                  </c:pt>
                  <c:pt idx="3">
                    <c:v>2.88</c:v>
                  </c:pt>
                  <c:pt idx="4">
                    <c:v>0</c:v>
                  </c:pt>
                  <c:pt idx="5">
                    <c:v>0.08</c:v>
                  </c:pt>
                  <c:pt idx="6">
                    <c:v>0</c:v>
                  </c:pt>
                  <c:pt idx="7">
                    <c:v>0.5</c:v>
                  </c:pt>
                  <c:pt idx="8">
                    <c:v>0.61</c:v>
                  </c:pt>
                  <c:pt idx="9">
                    <c:v>13.1</c:v>
                  </c:pt>
                  <c:pt idx="10">
                    <c:v>2.31</c:v>
                  </c:pt>
                  <c:pt idx="11">
                    <c:v>1.1499999999999999</c:v>
                  </c:pt>
                  <c:pt idx="12">
                    <c:v>4.5199999999999996</c:v>
                  </c:pt>
                </c:numCache>
              </c:numRef>
            </c:plus>
            <c:minus>
              <c:numRef>
                <c:f>OECD!$H$2:$H$14</c:f>
                <c:numCache>
                  <c:formatCode>General</c:formatCode>
                  <c:ptCount val="13"/>
                  <c:pt idx="0">
                    <c:v>56.957403674441892</c:v>
                  </c:pt>
                  <c:pt idx="1">
                    <c:v>2.5</c:v>
                  </c:pt>
                  <c:pt idx="2">
                    <c:v>3.18</c:v>
                  </c:pt>
                  <c:pt idx="3">
                    <c:v>2.88</c:v>
                  </c:pt>
                  <c:pt idx="4">
                    <c:v>0</c:v>
                  </c:pt>
                  <c:pt idx="5">
                    <c:v>0.08</c:v>
                  </c:pt>
                  <c:pt idx="6">
                    <c:v>0</c:v>
                  </c:pt>
                  <c:pt idx="7">
                    <c:v>0.5</c:v>
                  </c:pt>
                  <c:pt idx="8">
                    <c:v>0.61</c:v>
                  </c:pt>
                  <c:pt idx="9">
                    <c:v>13.1</c:v>
                  </c:pt>
                  <c:pt idx="10">
                    <c:v>2.31</c:v>
                  </c:pt>
                  <c:pt idx="11">
                    <c:v>1.1499999999999999</c:v>
                  </c:pt>
                  <c:pt idx="12">
                    <c:v>4.5199999999999996</c:v>
                  </c:pt>
                </c:numCache>
              </c:numRef>
            </c:minus>
          </c:errBars>
          <c:cat>
            <c:strRef>
              <c:f>OECD!$A$2:$A$14</c:f>
              <c:strCache>
                <c:ptCount val="13"/>
                <c:pt idx="0">
                  <c:v>BOD₅</c:v>
                </c:pt>
                <c:pt idx="1">
                  <c:v>COD</c:v>
                </c:pt>
                <c:pt idx="2">
                  <c:v>DOC</c:v>
                </c:pt>
                <c:pt idx="3">
                  <c:v>IC</c:v>
                </c:pt>
                <c:pt idx="4">
                  <c:v>F⁻</c:v>
                </c:pt>
                <c:pt idx="5">
                  <c:v>Cl⁻</c:v>
                </c:pt>
                <c:pt idx="6">
                  <c:v>NO3⁻</c:v>
                </c:pt>
                <c:pt idx="7">
                  <c:v>PO₄³⁻</c:v>
                </c:pt>
                <c:pt idx="8">
                  <c:v>SO₄²⁻</c:v>
                </c:pt>
                <c:pt idx="9">
                  <c:v>Fo</c:v>
                </c:pt>
                <c:pt idx="10">
                  <c:v>Ac</c:v>
                </c:pt>
                <c:pt idx="11">
                  <c:v>Pr</c:v>
                </c:pt>
                <c:pt idx="12">
                  <c:v>i-Bu</c:v>
                </c:pt>
              </c:strCache>
            </c:strRef>
          </c:cat>
          <c:val>
            <c:numRef>
              <c:f>OECD!$G$2:$G$14</c:f>
              <c:numCache>
                <c:formatCode>General</c:formatCode>
                <c:ptCount val="13"/>
                <c:pt idx="0">
                  <c:v>160.27000000000001</c:v>
                </c:pt>
                <c:pt idx="1">
                  <c:v>237.5</c:v>
                </c:pt>
                <c:pt idx="2">
                  <c:v>132.03</c:v>
                </c:pt>
                <c:pt idx="3">
                  <c:v>97.68</c:v>
                </c:pt>
                <c:pt idx="4">
                  <c:v>0</c:v>
                </c:pt>
                <c:pt idx="5">
                  <c:v>96.4</c:v>
                </c:pt>
                <c:pt idx="6">
                  <c:v>0</c:v>
                </c:pt>
                <c:pt idx="7">
                  <c:v>31.26</c:v>
                </c:pt>
                <c:pt idx="8">
                  <c:v>84.39</c:v>
                </c:pt>
                <c:pt idx="9">
                  <c:v>13.1</c:v>
                </c:pt>
                <c:pt idx="10">
                  <c:v>17.46</c:v>
                </c:pt>
                <c:pt idx="11">
                  <c:v>8.93</c:v>
                </c:pt>
                <c:pt idx="12">
                  <c:v>23.21</c:v>
                </c:pt>
              </c:numCache>
            </c:numRef>
          </c:val>
          <c:extLst>
            <c:ext xmlns:c16="http://schemas.microsoft.com/office/drawing/2014/chart" uri="{C3380CC4-5D6E-409C-BE32-E72D297353CC}">
              <c16:uniqueId val="{00000001-B273-4B70-8AC2-91C6AB2201AB}"/>
            </c:ext>
          </c:extLst>
        </c:ser>
        <c:dLbls>
          <c:showLegendKey val="0"/>
          <c:showVal val="0"/>
          <c:showCatName val="0"/>
          <c:showSerName val="0"/>
          <c:showPercent val="0"/>
          <c:showBubbleSize val="0"/>
        </c:dLbls>
        <c:gapWidth val="150"/>
        <c:axId val="134555520"/>
        <c:axId val="134557056"/>
      </c:barChart>
      <c:catAx>
        <c:axId val="134555520"/>
        <c:scaling>
          <c:orientation val="minMax"/>
        </c:scaling>
        <c:delete val="0"/>
        <c:axPos val="b"/>
        <c:numFmt formatCode="General" sourceLinked="0"/>
        <c:majorTickMark val="out"/>
        <c:minorTickMark val="none"/>
        <c:tickLblPos val="nextTo"/>
        <c:spPr>
          <a:ln>
            <a:solidFill>
              <a:sysClr val="windowText" lastClr="000000"/>
            </a:solidFill>
          </a:ln>
        </c:spPr>
        <c:txPr>
          <a:bodyPr/>
          <a:lstStyle/>
          <a:p>
            <a:pPr>
              <a:defRPr sz="1100"/>
            </a:pPr>
            <a:endParaRPr lang="en-US"/>
          </a:p>
        </c:txPr>
        <c:crossAx val="134557056"/>
        <c:crosses val="autoZero"/>
        <c:auto val="1"/>
        <c:lblAlgn val="ctr"/>
        <c:lblOffset val="100"/>
        <c:noMultiLvlLbl val="0"/>
      </c:catAx>
      <c:valAx>
        <c:axId val="134557056"/>
        <c:scaling>
          <c:orientation val="minMax"/>
          <c:max val="300"/>
        </c:scaling>
        <c:delete val="0"/>
        <c:axPos val="l"/>
        <c:title>
          <c:tx>
            <c:rich>
              <a:bodyPr rot="-5400000" vert="horz"/>
              <a:lstStyle/>
              <a:p>
                <a:pPr>
                  <a:defRPr/>
                </a:pPr>
                <a:r>
                  <a:rPr lang="en-GB"/>
                  <a:t>Concentration (mg/l)</a:t>
                </a:r>
              </a:p>
            </c:rich>
          </c:tx>
          <c:overlay val="0"/>
        </c:title>
        <c:numFmt formatCode="General" sourceLinked="1"/>
        <c:majorTickMark val="out"/>
        <c:minorTickMark val="none"/>
        <c:tickLblPos val="nextTo"/>
        <c:spPr>
          <a:ln>
            <a:solidFill>
              <a:sysClr val="windowText" lastClr="000000"/>
            </a:solidFill>
          </a:ln>
        </c:spPr>
        <c:crossAx val="134555520"/>
        <c:crosses val="autoZero"/>
        <c:crossBetween val="between"/>
      </c:valAx>
      <c:spPr>
        <a:ln>
          <a:solidFill>
            <a:sysClr val="windowText" lastClr="000000"/>
          </a:solidFill>
        </a:ln>
      </c:spPr>
    </c:plotArea>
    <c:legend>
      <c:legendPos val="tr"/>
      <c:layout>
        <c:manualLayout>
          <c:xMode val="edge"/>
          <c:yMode val="edge"/>
          <c:x val="0.84977673896695849"/>
          <c:y val="0.11371773114673228"/>
          <c:w val="0.1143431590281984"/>
          <c:h val="0.27723720438928789"/>
        </c:manualLayout>
      </c:layout>
      <c:overlay val="1"/>
    </c:legend>
    <c:plotVisOnly val="1"/>
    <c:dispBlanksAs val="gap"/>
    <c:showDLblsOverMax val="0"/>
  </c:chart>
  <c:spPr>
    <a:ln>
      <a:noFill/>
    </a:ln>
  </c:spPr>
  <c:txPr>
    <a:bodyPr/>
    <a:lstStyle/>
    <a:p>
      <a:pPr>
        <a:defRPr sz="12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B8B29C5-C39B-41C8-9567-444369AD2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Frontiers_template</Template>
  <TotalTime>1</TotalTime>
  <Pages>5</Pages>
  <Words>571</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Senn</dc:creator>
  <cp:keywords/>
  <dc:description/>
  <cp:lastModifiedBy>Beate Christgen</cp:lastModifiedBy>
  <cp:revision>3</cp:revision>
  <cp:lastPrinted>2013-10-03T12:51:00Z</cp:lastPrinted>
  <dcterms:created xsi:type="dcterms:W3CDTF">2023-10-26T12:56:00Z</dcterms:created>
  <dcterms:modified xsi:type="dcterms:W3CDTF">2023-10-26T12:56:00Z</dcterms:modified>
</cp:coreProperties>
</file>