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3E72" w14:textId="45267FA3" w:rsidR="00720865" w:rsidRPr="00720865" w:rsidRDefault="008C013A" w:rsidP="00F01A52">
      <w:pPr>
        <w:pStyle w:val="Custom"/>
      </w:pPr>
      <w:r w:rsidRPr="002A765B">
        <w:t>Online appendix</w:t>
      </w:r>
      <w:r w:rsidR="002A765B">
        <w:t xml:space="preserve">: </w:t>
      </w:r>
      <w:r w:rsidR="00720865" w:rsidRPr="00720865">
        <w:t xml:space="preserve">Moving on to not fall behind. Technological sovereignty and the 'geo-dirigiste' turn in EU industrial </w:t>
      </w:r>
      <w:r w:rsidR="00E449C6" w:rsidRPr="00720865">
        <w:t>policy.</w:t>
      </w:r>
    </w:p>
    <w:p w14:paraId="497FA359" w14:textId="2E753C13" w:rsidR="008C013A" w:rsidRPr="00720865" w:rsidRDefault="008D7E6A" w:rsidP="00720865">
      <w:pPr>
        <w:rPr>
          <w:rFonts w:ascii="Garamond" w:hAnsi="Garamond"/>
          <w:lang w:val="en-US"/>
        </w:rPr>
      </w:pPr>
      <w:r>
        <w:rPr>
          <w:rFonts w:ascii="Garamond" w:hAnsi="Garamond"/>
          <w:lang w:val="en-US"/>
        </w:rPr>
        <w:t>Not that all</w:t>
      </w:r>
      <w:r w:rsidR="002A765B" w:rsidRPr="009F30F6">
        <w:rPr>
          <w:rFonts w:ascii="Garamond" w:hAnsi="Garamond"/>
          <w:lang w:val="en-US"/>
        </w:rPr>
        <w:t xml:space="preserve"> code used to scrape the data as well as all the code and data necessary to replicate our analysis </w:t>
      </w:r>
      <w:r>
        <w:rPr>
          <w:rFonts w:ascii="Garamond" w:hAnsi="Garamond"/>
          <w:lang w:val="en-US"/>
        </w:rPr>
        <w:t xml:space="preserve">are provided in the online supplementary materials. The zip folder contains </w:t>
      </w:r>
      <w:r w:rsidR="002A765B">
        <w:rPr>
          <w:rFonts w:ascii="Garamond" w:hAnsi="Garamond"/>
          <w:lang w:val="en-US"/>
        </w:rPr>
        <w:t xml:space="preserve">an R project with a data folder, </w:t>
      </w:r>
      <w:r>
        <w:rPr>
          <w:rFonts w:ascii="Garamond" w:hAnsi="Garamond"/>
          <w:lang w:val="en-US"/>
        </w:rPr>
        <w:t xml:space="preserve">a </w:t>
      </w:r>
      <w:r w:rsidR="002A765B">
        <w:rPr>
          <w:rFonts w:ascii="Garamond" w:hAnsi="Garamond"/>
          <w:lang w:val="en-US"/>
        </w:rPr>
        <w:t>Quarto (.</w:t>
      </w:r>
      <w:proofErr w:type="spellStart"/>
      <w:r w:rsidR="002A765B">
        <w:rPr>
          <w:rFonts w:ascii="Garamond" w:hAnsi="Garamond"/>
          <w:lang w:val="en-US"/>
        </w:rPr>
        <w:t>qmd</w:t>
      </w:r>
      <w:proofErr w:type="spellEnd"/>
      <w:r w:rsidR="002A765B">
        <w:rPr>
          <w:rFonts w:ascii="Garamond" w:hAnsi="Garamond"/>
          <w:lang w:val="en-US"/>
        </w:rPr>
        <w:t xml:space="preserve">) file that contains all the code </w:t>
      </w:r>
      <w:r>
        <w:rPr>
          <w:rFonts w:ascii="Garamond" w:hAnsi="Garamond"/>
          <w:lang w:val="en-US"/>
        </w:rPr>
        <w:t>in</w:t>
      </w:r>
      <w:r w:rsidR="002A765B">
        <w:rPr>
          <w:rFonts w:ascii="Garamond" w:hAnsi="Garamond"/>
          <w:lang w:val="en-US"/>
        </w:rPr>
        <w:t xml:space="preserve"> R and Python code</w:t>
      </w:r>
      <w:r>
        <w:rPr>
          <w:rFonts w:ascii="Garamond" w:hAnsi="Garamond"/>
          <w:lang w:val="en-US"/>
        </w:rPr>
        <w:t xml:space="preserve"> used for the paper</w:t>
      </w:r>
      <w:r w:rsidR="002A765B">
        <w:rPr>
          <w:rFonts w:ascii="Garamond" w:hAnsi="Garamond"/>
          <w:lang w:val="en-US"/>
        </w:rPr>
        <w:t xml:space="preserve"> as well as instructions for how to setup the respective environments and perform the analysis. As we talk about in more detail in the Quarto file, some of the analysis can effectively only be run with access to a GPU (Graphical Processing Unit). Google </w:t>
      </w:r>
      <w:proofErr w:type="spellStart"/>
      <w:r w:rsidR="002A765B">
        <w:rPr>
          <w:rFonts w:ascii="Garamond" w:hAnsi="Garamond"/>
          <w:lang w:val="en-US"/>
        </w:rPr>
        <w:t>Colab</w:t>
      </w:r>
      <w:proofErr w:type="spellEnd"/>
      <w:r w:rsidR="002A765B">
        <w:rPr>
          <w:rFonts w:ascii="Garamond" w:hAnsi="Garamond"/>
          <w:lang w:val="en-US"/>
        </w:rPr>
        <w:t xml:space="preserve"> gives relatively cheap access to GPUs, but we cannot provide a completely free way to replicate our analysis given the computation costs involved.</w:t>
      </w:r>
    </w:p>
    <w:p w14:paraId="1C2F1FBB" w14:textId="3691ADBC" w:rsidR="008C013A" w:rsidRPr="008C013A" w:rsidRDefault="008C013A" w:rsidP="002A765B">
      <w:pPr>
        <w:pStyle w:val="Custom"/>
        <w:numPr>
          <w:ilvl w:val="0"/>
          <w:numId w:val="1"/>
        </w:numPr>
      </w:pPr>
      <w:r w:rsidRPr="00464884">
        <w:t>Interviews</w:t>
      </w:r>
    </w:p>
    <w:p w14:paraId="1024AAFB" w14:textId="25FEFD9E" w:rsidR="00720865" w:rsidRPr="00F278C9" w:rsidRDefault="008C013A" w:rsidP="008C013A">
      <w:pPr>
        <w:pStyle w:val="BodyText"/>
        <w:rPr>
          <w:rFonts w:ascii="Garamond" w:eastAsia="Garamond" w:hAnsi="Garamond" w:cs="Garamond"/>
          <w:lang w:val="en-US"/>
        </w:rPr>
      </w:pPr>
      <w:r w:rsidRPr="00F278C9">
        <w:rPr>
          <w:rFonts w:ascii="Garamond" w:eastAsia="Garamond" w:hAnsi="Garamond" w:cs="Garamond"/>
          <w:lang w:val="en-US"/>
        </w:rPr>
        <w:t>Between March 2022 and January 2023, we have conducted 1</w:t>
      </w:r>
      <w:r w:rsidR="00391B98" w:rsidRPr="00C876EF">
        <w:rPr>
          <w:rFonts w:ascii="Garamond" w:eastAsia="Garamond" w:hAnsi="Garamond" w:cs="Garamond"/>
          <w:lang w:val="en-US"/>
        </w:rPr>
        <w:t>1</w:t>
      </w:r>
      <w:r w:rsidRPr="00F278C9">
        <w:rPr>
          <w:rFonts w:ascii="Garamond" w:eastAsia="Garamond" w:hAnsi="Garamond" w:cs="Garamond"/>
          <w:lang w:val="en-US"/>
        </w:rPr>
        <w:t xml:space="preserve"> online interviews with EU Commission policy officials, member state officials, and experts. All interviews were recorded and transcribed on the condition of anonymity, for which we obtained prior written consent. We have selected our interview participants on the basis of their direct involvement with or expertise on the EU’s (digital) industrial policies. Each interview was semi-structured and guided by a questionnaire. The interviews lasted between 30 and 60 minutes. Table 1 gives an overview of the interviews conducted.</w:t>
      </w:r>
    </w:p>
    <w:p w14:paraId="50E4A7D9" w14:textId="77777777" w:rsidR="00720865" w:rsidRPr="00F278C9" w:rsidRDefault="00720865" w:rsidP="008C013A">
      <w:pPr>
        <w:pStyle w:val="BodyText"/>
        <w:rPr>
          <w:rFonts w:ascii="Garamond" w:eastAsia="Garamond" w:hAnsi="Garamond" w:cs="Garamond"/>
          <w:lang w:val="en-US"/>
        </w:rPr>
      </w:pPr>
    </w:p>
    <w:p w14:paraId="0798DA95" w14:textId="77777777" w:rsidR="00720865" w:rsidRPr="00F278C9" w:rsidRDefault="00720865" w:rsidP="008C013A">
      <w:pPr>
        <w:pStyle w:val="BodyText"/>
        <w:rPr>
          <w:lang w:val="en-US"/>
        </w:rPr>
      </w:pPr>
    </w:p>
    <w:p w14:paraId="1D44BEDB" w14:textId="77777777" w:rsidR="00720865" w:rsidRPr="00F278C9" w:rsidRDefault="00720865" w:rsidP="008C013A">
      <w:pPr>
        <w:pStyle w:val="BodyText"/>
        <w:rPr>
          <w:lang w:val="en-US"/>
        </w:rPr>
      </w:pPr>
    </w:p>
    <w:p w14:paraId="0A349471" w14:textId="77777777" w:rsidR="00F01A52" w:rsidRDefault="00F01A52" w:rsidP="008C013A">
      <w:pPr>
        <w:pStyle w:val="BodyText"/>
        <w:rPr>
          <w:lang w:val="en-US"/>
        </w:rPr>
      </w:pPr>
    </w:p>
    <w:p w14:paraId="0B822029" w14:textId="77777777" w:rsidR="008D7E6A" w:rsidRDefault="008D7E6A" w:rsidP="008C013A">
      <w:pPr>
        <w:pStyle w:val="BodyText"/>
        <w:rPr>
          <w:lang w:val="en-US"/>
        </w:rPr>
      </w:pPr>
    </w:p>
    <w:p w14:paraId="3A2D2AE5" w14:textId="77777777" w:rsidR="008D7E6A" w:rsidRPr="00F278C9" w:rsidRDefault="008D7E6A" w:rsidP="008C013A">
      <w:pPr>
        <w:pStyle w:val="BodyText"/>
        <w:rPr>
          <w:lang w:val="en-US"/>
        </w:rPr>
      </w:pPr>
    </w:p>
    <w:p w14:paraId="1CB94C7E" w14:textId="77777777" w:rsidR="00F01A52" w:rsidRPr="00F278C9" w:rsidRDefault="00F01A52" w:rsidP="008C013A">
      <w:pPr>
        <w:pStyle w:val="BodyText"/>
        <w:rPr>
          <w:lang w:val="en-US"/>
        </w:rPr>
      </w:pPr>
    </w:p>
    <w:p w14:paraId="2F33FB9F" w14:textId="77777777" w:rsidR="008C013A" w:rsidRPr="004C13B1" w:rsidRDefault="008C013A" w:rsidP="002A765B">
      <w:pPr>
        <w:pStyle w:val="Custom"/>
      </w:pPr>
      <w:r w:rsidRPr="004C13B1">
        <w:lastRenderedPageBreak/>
        <w:t xml:space="preserve">Table </w:t>
      </w:r>
      <w:r>
        <w:t>1</w:t>
      </w:r>
      <w:r w:rsidRPr="004C13B1">
        <w:t>: Interviews</w:t>
      </w:r>
    </w:p>
    <w:tbl>
      <w:tblPr>
        <w:tblW w:w="5000" w:type="pct"/>
        <w:tblCellMar>
          <w:bottom w:w="135" w:type="dxa"/>
          <w:right w:w="115" w:type="dxa"/>
        </w:tblCellMar>
        <w:tblLook w:val="04A0" w:firstRow="1" w:lastRow="0" w:firstColumn="1" w:lastColumn="0" w:noHBand="0" w:noVBand="1"/>
      </w:tblPr>
      <w:tblGrid>
        <w:gridCol w:w="1630"/>
        <w:gridCol w:w="5667"/>
        <w:gridCol w:w="2063"/>
      </w:tblGrid>
      <w:tr w:rsidR="008C013A" w:rsidRPr="00720865" w14:paraId="7A5018A6" w14:textId="77777777" w:rsidTr="005912A2">
        <w:trPr>
          <w:trHeight w:val="655"/>
        </w:trPr>
        <w:tc>
          <w:tcPr>
            <w:tcW w:w="871" w:type="pct"/>
            <w:tcBorders>
              <w:top w:val="single" w:sz="7" w:space="0" w:color="000000" w:themeColor="text1"/>
              <w:left w:val="nil"/>
              <w:bottom w:val="single" w:sz="4" w:space="0" w:color="000000" w:themeColor="text1"/>
              <w:right w:val="nil"/>
            </w:tcBorders>
            <w:vAlign w:val="bottom"/>
          </w:tcPr>
          <w:p w14:paraId="7848C452" w14:textId="77777777" w:rsidR="008C013A" w:rsidRPr="00720865" w:rsidRDefault="008C013A" w:rsidP="002A765B">
            <w:pPr>
              <w:pStyle w:val="Custom"/>
              <w:rPr>
                <w:b w:val="0"/>
                <w:bCs w:val="0"/>
              </w:rPr>
            </w:pPr>
            <w:r w:rsidRPr="00720865">
              <w:rPr>
                <w:b w:val="0"/>
                <w:bCs w:val="0"/>
              </w:rPr>
              <w:t>Interview</w:t>
            </w:r>
          </w:p>
        </w:tc>
        <w:tc>
          <w:tcPr>
            <w:tcW w:w="3027" w:type="pct"/>
            <w:tcBorders>
              <w:top w:val="single" w:sz="7" w:space="0" w:color="000000" w:themeColor="text1"/>
              <w:left w:val="nil"/>
              <w:bottom w:val="single" w:sz="4" w:space="0" w:color="000000" w:themeColor="text1"/>
              <w:right w:val="nil"/>
            </w:tcBorders>
            <w:vAlign w:val="bottom"/>
          </w:tcPr>
          <w:p w14:paraId="1AA07B85" w14:textId="77777777" w:rsidR="008C013A" w:rsidRPr="00720865" w:rsidRDefault="008C013A" w:rsidP="002A765B">
            <w:pPr>
              <w:pStyle w:val="Custom"/>
              <w:rPr>
                <w:b w:val="0"/>
                <w:bCs w:val="0"/>
              </w:rPr>
            </w:pPr>
            <w:r w:rsidRPr="00720865">
              <w:rPr>
                <w:b w:val="0"/>
                <w:bCs w:val="0"/>
              </w:rPr>
              <w:t>Description</w:t>
            </w:r>
          </w:p>
        </w:tc>
        <w:tc>
          <w:tcPr>
            <w:tcW w:w="1102" w:type="pct"/>
            <w:tcBorders>
              <w:top w:val="single" w:sz="7" w:space="0" w:color="000000" w:themeColor="text1"/>
              <w:left w:val="nil"/>
              <w:bottom w:val="single" w:sz="4" w:space="0" w:color="000000" w:themeColor="text1"/>
              <w:right w:val="nil"/>
            </w:tcBorders>
            <w:vAlign w:val="bottom"/>
          </w:tcPr>
          <w:p w14:paraId="19AF6F5E" w14:textId="77777777" w:rsidR="008C013A" w:rsidRPr="00720865" w:rsidRDefault="008C013A" w:rsidP="002A765B">
            <w:pPr>
              <w:pStyle w:val="Custom"/>
              <w:rPr>
                <w:b w:val="0"/>
                <w:bCs w:val="0"/>
              </w:rPr>
            </w:pPr>
            <w:r w:rsidRPr="00720865">
              <w:rPr>
                <w:b w:val="0"/>
                <w:bCs w:val="0"/>
              </w:rPr>
              <w:t>Date of Interview</w:t>
            </w:r>
          </w:p>
        </w:tc>
      </w:tr>
      <w:tr w:rsidR="005912A2" w:rsidRPr="00720865" w14:paraId="3BBB850D" w14:textId="77777777" w:rsidTr="005912A2">
        <w:trPr>
          <w:trHeight w:val="635"/>
        </w:trPr>
        <w:tc>
          <w:tcPr>
            <w:tcW w:w="871" w:type="pct"/>
            <w:tcBorders>
              <w:top w:val="single" w:sz="4" w:space="0" w:color="000000" w:themeColor="text1"/>
              <w:left w:val="nil"/>
              <w:right w:val="nil"/>
            </w:tcBorders>
            <w:vAlign w:val="center"/>
          </w:tcPr>
          <w:p w14:paraId="29012F1A" w14:textId="298E3B86" w:rsidR="005912A2" w:rsidRPr="00720865" w:rsidRDefault="005912A2" w:rsidP="002A765B">
            <w:pPr>
              <w:pStyle w:val="Custom"/>
              <w:rPr>
                <w:b w:val="0"/>
                <w:bCs w:val="0"/>
              </w:rPr>
            </w:pPr>
            <w:r>
              <w:rPr>
                <w:b w:val="0"/>
                <w:bCs w:val="0"/>
              </w:rPr>
              <w:t>Interview 1</w:t>
            </w:r>
          </w:p>
        </w:tc>
        <w:tc>
          <w:tcPr>
            <w:tcW w:w="3027" w:type="pct"/>
            <w:tcBorders>
              <w:top w:val="single" w:sz="4" w:space="0" w:color="000000" w:themeColor="text1"/>
              <w:left w:val="nil"/>
              <w:right w:val="nil"/>
            </w:tcBorders>
            <w:vAlign w:val="center"/>
          </w:tcPr>
          <w:p w14:paraId="2D78D103" w14:textId="2FEC4419" w:rsidR="005912A2" w:rsidRPr="00720865" w:rsidRDefault="005912A2" w:rsidP="002A765B">
            <w:pPr>
              <w:pStyle w:val="Custom"/>
              <w:rPr>
                <w:b w:val="0"/>
                <w:bCs w:val="0"/>
              </w:rPr>
            </w:pPr>
            <w:r>
              <w:rPr>
                <w:b w:val="0"/>
                <w:bCs w:val="0"/>
              </w:rPr>
              <w:t>Senior official, European External Action Service</w:t>
            </w:r>
          </w:p>
        </w:tc>
        <w:tc>
          <w:tcPr>
            <w:tcW w:w="1102" w:type="pct"/>
            <w:tcBorders>
              <w:top w:val="single" w:sz="4" w:space="0" w:color="000000" w:themeColor="text1"/>
              <w:left w:val="nil"/>
              <w:right w:val="nil"/>
            </w:tcBorders>
            <w:vAlign w:val="center"/>
          </w:tcPr>
          <w:p w14:paraId="0EF72E65" w14:textId="1EC7B026" w:rsidR="005912A2" w:rsidRPr="00720865" w:rsidRDefault="005912A2" w:rsidP="002A765B">
            <w:pPr>
              <w:pStyle w:val="Custom"/>
              <w:rPr>
                <w:b w:val="0"/>
                <w:bCs w:val="0"/>
              </w:rPr>
            </w:pPr>
            <w:r>
              <w:rPr>
                <w:b w:val="0"/>
                <w:bCs w:val="0"/>
              </w:rPr>
              <w:t>May 2021</w:t>
            </w:r>
          </w:p>
        </w:tc>
      </w:tr>
      <w:tr w:rsidR="008C013A" w:rsidRPr="00720865" w14:paraId="2A3CC087" w14:textId="77777777" w:rsidTr="005912A2">
        <w:trPr>
          <w:trHeight w:val="635"/>
        </w:trPr>
        <w:tc>
          <w:tcPr>
            <w:tcW w:w="871" w:type="pct"/>
            <w:tcBorders>
              <w:left w:val="nil"/>
              <w:bottom w:val="nil"/>
              <w:right w:val="nil"/>
            </w:tcBorders>
            <w:vAlign w:val="center"/>
          </w:tcPr>
          <w:p w14:paraId="6DCE9EA6" w14:textId="1706F418" w:rsidR="008C013A" w:rsidRPr="00720865" w:rsidRDefault="008C013A" w:rsidP="002A765B">
            <w:pPr>
              <w:pStyle w:val="Custom"/>
              <w:rPr>
                <w:b w:val="0"/>
                <w:bCs w:val="0"/>
              </w:rPr>
            </w:pPr>
            <w:r w:rsidRPr="00720865">
              <w:rPr>
                <w:b w:val="0"/>
                <w:bCs w:val="0"/>
              </w:rPr>
              <w:t xml:space="preserve">Interview </w:t>
            </w:r>
            <w:r w:rsidR="005912A2">
              <w:rPr>
                <w:b w:val="0"/>
                <w:bCs w:val="0"/>
              </w:rPr>
              <w:t>2</w:t>
            </w:r>
          </w:p>
        </w:tc>
        <w:tc>
          <w:tcPr>
            <w:tcW w:w="3027" w:type="pct"/>
            <w:tcBorders>
              <w:left w:val="nil"/>
              <w:bottom w:val="nil"/>
              <w:right w:val="nil"/>
            </w:tcBorders>
            <w:vAlign w:val="center"/>
          </w:tcPr>
          <w:p w14:paraId="2AA93A5F" w14:textId="2F26F476" w:rsidR="008C013A" w:rsidRPr="00720865" w:rsidRDefault="5664D07D" w:rsidP="002A765B">
            <w:pPr>
              <w:pStyle w:val="Custom"/>
              <w:rPr>
                <w:b w:val="0"/>
                <w:bCs w:val="0"/>
              </w:rPr>
            </w:pPr>
            <w:r w:rsidRPr="00720865">
              <w:rPr>
                <w:b w:val="0"/>
                <w:bCs w:val="0"/>
              </w:rPr>
              <w:t>Senior Commission official, DG Comp</w:t>
            </w:r>
          </w:p>
        </w:tc>
        <w:tc>
          <w:tcPr>
            <w:tcW w:w="1102" w:type="pct"/>
            <w:tcBorders>
              <w:left w:val="nil"/>
              <w:bottom w:val="nil"/>
              <w:right w:val="nil"/>
            </w:tcBorders>
            <w:vAlign w:val="center"/>
          </w:tcPr>
          <w:p w14:paraId="39310FED" w14:textId="77777777" w:rsidR="008C013A" w:rsidRPr="00720865" w:rsidRDefault="008C013A" w:rsidP="002A765B">
            <w:pPr>
              <w:pStyle w:val="Custom"/>
              <w:rPr>
                <w:b w:val="0"/>
                <w:bCs w:val="0"/>
              </w:rPr>
            </w:pPr>
            <w:r w:rsidRPr="00720865">
              <w:rPr>
                <w:b w:val="0"/>
                <w:bCs w:val="0"/>
              </w:rPr>
              <w:t>March 2022</w:t>
            </w:r>
          </w:p>
        </w:tc>
      </w:tr>
      <w:tr w:rsidR="008C013A" w:rsidRPr="00720865" w14:paraId="7E78F490" w14:textId="77777777" w:rsidTr="00A32B4F">
        <w:trPr>
          <w:trHeight w:val="542"/>
        </w:trPr>
        <w:tc>
          <w:tcPr>
            <w:tcW w:w="871" w:type="pct"/>
            <w:tcBorders>
              <w:top w:val="nil"/>
              <w:left w:val="nil"/>
              <w:bottom w:val="nil"/>
              <w:right w:val="nil"/>
            </w:tcBorders>
            <w:vAlign w:val="center"/>
          </w:tcPr>
          <w:p w14:paraId="77B2D52E" w14:textId="1EC1B5C0" w:rsidR="008C013A" w:rsidRPr="00720865" w:rsidRDefault="008C013A" w:rsidP="002A765B">
            <w:pPr>
              <w:pStyle w:val="Custom"/>
              <w:rPr>
                <w:b w:val="0"/>
                <w:bCs w:val="0"/>
              </w:rPr>
            </w:pPr>
            <w:r w:rsidRPr="00720865">
              <w:rPr>
                <w:b w:val="0"/>
                <w:bCs w:val="0"/>
              </w:rPr>
              <w:t xml:space="preserve">Interview </w:t>
            </w:r>
            <w:r w:rsidR="005912A2">
              <w:rPr>
                <w:b w:val="0"/>
                <w:bCs w:val="0"/>
              </w:rPr>
              <w:t>3</w:t>
            </w:r>
          </w:p>
        </w:tc>
        <w:tc>
          <w:tcPr>
            <w:tcW w:w="3027" w:type="pct"/>
            <w:tcBorders>
              <w:top w:val="nil"/>
              <w:left w:val="nil"/>
              <w:bottom w:val="nil"/>
              <w:right w:val="nil"/>
            </w:tcBorders>
            <w:vAlign w:val="center"/>
          </w:tcPr>
          <w:p w14:paraId="22A93342" w14:textId="2FFD4DC8" w:rsidR="008C013A" w:rsidRPr="00720865" w:rsidRDefault="5664D07D" w:rsidP="002A765B">
            <w:pPr>
              <w:pStyle w:val="Custom"/>
              <w:rPr>
                <w:b w:val="0"/>
                <w:bCs w:val="0"/>
              </w:rPr>
            </w:pPr>
            <w:r w:rsidRPr="00720865">
              <w:rPr>
                <w:b w:val="0"/>
                <w:bCs w:val="0"/>
              </w:rPr>
              <w:t>Senior Commission official, DG GROW</w:t>
            </w:r>
          </w:p>
        </w:tc>
        <w:tc>
          <w:tcPr>
            <w:tcW w:w="1102" w:type="pct"/>
            <w:tcBorders>
              <w:top w:val="nil"/>
              <w:left w:val="nil"/>
              <w:bottom w:val="nil"/>
              <w:right w:val="nil"/>
            </w:tcBorders>
            <w:vAlign w:val="center"/>
          </w:tcPr>
          <w:p w14:paraId="50203408" w14:textId="77777777" w:rsidR="008C013A" w:rsidRPr="00720865" w:rsidRDefault="008C013A" w:rsidP="002A765B">
            <w:pPr>
              <w:pStyle w:val="Custom"/>
              <w:rPr>
                <w:b w:val="0"/>
                <w:bCs w:val="0"/>
              </w:rPr>
            </w:pPr>
            <w:r w:rsidRPr="00720865">
              <w:rPr>
                <w:b w:val="0"/>
                <w:bCs w:val="0"/>
              </w:rPr>
              <w:t>March 2022</w:t>
            </w:r>
          </w:p>
        </w:tc>
      </w:tr>
      <w:tr w:rsidR="5664D07D" w:rsidRPr="00720865" w14:paraId="50005EB2" w14:textId="77777777" w:rsidTr="00A32B4F">
        <w:trPr>
          <w:trHeight w:val="542"/>
        </w:trPr>
        <w:tc>
          <w:tcPr>
            <w:tcW w:w="871" w:type="pct"/>
            <w:tcBorders>
              <w:top w:val="nil"/>
              <w:left w:val="nil"/>
              <w:bottom w:val="nil"/>
              <w:right w:val="nil"/>
            </w:tcBorders>
            <w:vAlign w:val="center"/>
          </w:tcPr>
          <w:p w14:paraId="2BDFAB0A" w14:textId="585577E5" w:rsidR="5664D07D" w:rsidRPr="00720865" w:rsidRDefault="5664D07D" w:rsidP="002A765B">
            <w:pPr>
              <w:pStyle w:val="Custom"/>
              <w:rPr>
                <w:b w:val="0"/>
                <w:bCs w:val="0"/>
              </w:rPr>
            </w:pPr>
            <w:r w:rsidRPr="00720865">
              <w:rPr>
                <w:b w:val="0"/>
                <w:bCs w:val="0"/>
              </w:rPr>
              <w:t xml:space="preserve">Interview </w:t>
            </w:r>
            <w:r w:rsidR="005912A2">
              <w:rPr>
                <w:b w:val="0"/>
                <w:bCs w:val="0"/>
              </w:rPr>
              <w:t>4</w:t>
            </w:r>
          </w:p>
        </w:tc>
        <w:tc>
          <w:tcPr>
            <w:tcW w:w="3027" w:type="pct"/>
            <w:tcBorders>
              <w:top w:val="nil"/>
              <w:left w:val="nil"/>
              <w:bottom w:val="nil"/>
              <w:right w:val="nil"/>
            </w:tcBorders>
            <w:vAlign w:val="center"/>
          </w:tcPr>
          <w:p w14:paraId="0FDDA461" w14:textId="6B1B1D82" w:rsidR="5664D07D" w:rsidRPr="00720865" w:rsidRDefault="5664D07D" w:rsidP="002A765B">
            <w:pPr>
              <w:pStyle w:val="Custom"/>
              <w:rPr>
                <w:b w:val="0"/>
                <w:bCs w:val="0"/>
              </w:rPr>
            </w:pPr>
            <w:r w:rsidRPr="00720865">
              <w:rPr>
                <w:b w:val="0"/>
                <w:bCs w:val="0"/>
              </w:rPr>
              <w:t>US digital policy expert</w:t>
            </w:r>
          </w:p>
        </w:tc>
        <w:tc>
          <w:tcPr>
            <w:tcW w:w="1102" w:type="pct"/>
            <w:tcBorders>
              <w:top w:val="nil"/>
              <w:left w:val="nil"/>
              <w:bottom w:val="nil"/>
              <w:right w:val="nil"/>
            </w:tcBorders>
            <w:vAlign w:val="center"/>
          </w:tcPr>
          <w:p w14:paraId="4E452F24" w14:textId="0CA1968D" w:rsidR="5664D07D" w:rsidRPr="00720865" w:rsidRDefault="5664D07D" w:rsidP="002A765B">
            <w:pPr>
              <w:pStyle w:val="Custom"/>
              <w:rPr>
                <w:b w:val="0"/>
                <w:bCs w:val="0"/>
              </w:rPr>
            </w:pPr>
            <w:r w:rsidRPr="00720865">
              <w:rPr>
                <w:b w:val="0"/>
                <w:bCs w:val="0"/>
              </w:rPr>
              <w:t>March 2022</w:t>
            </w:r>
          </w:p>
        </w:tc>
      </w:tr>
      <w:tr w:rsidR="5664D07D" w:rsidRPr="00720865" w14:paraId="32AA4AD3" w14:textId="77777777" w:rsidTr="00A32B4F">
        <w:trPr>
          <w:trHeight w:val="542"/>
        </w:trPr>
        <w:tc>
          <w:tcPr>
            <w:tcW w:w="871" w:type="pct"/>
            <w:tcBorders>
              <w:top w:val="nil"/>
              <w:left w:val="nil"/>
              <w:bottom w:val="nil"/>
              <w:right w:val="nil"/>
            </w:tcBorders>
            <w:vAlign w:val="center"/>
          </w:tcPr>
          <w:p w14:paraId="11579AED" w14:textId="37B1EC40" w:rsidR="5664D07D" w:rsidRPr="00720865" w:rsidRDefault="5664D07D" w:rsidP="002A765B">
            <w:pPr>
              <w:pStyle w:val="Custom"/>
              <w:rPr>
                <w:b w:val="0"/>
                <w:bCs w:val="0"/>
              </w:rPr>
            </w:pPr>
            <w:r w:rsidRPr="00720865">
              <w:rPr>
                <w:b w:val="0"/>
                <w:bCs w:val="0"/>
              </w:rPr>
              <w:t xml:space="preserve">Interview </w:t>
            </w:r>
            <w:r w:rsidR="005912A2">
              <w:rPr>
                <w:b w:val="0"/>
                <w:bCs w:val="0"/>
              </w:rPr>
              <w:t>5</w:t>
            </w:r>
          </w:p>
        </w:tc>
        <w:tc>
          <w:tcPr>
            <w:tcW w:w="3027" w:type="pct"/>
            <w:tcBorders>
              <w:top w:val="nil"/>
              <w:left w:val="nil"/>
              <w:bottom w:val="nil"/>
              <w:right w:val="nil"/>
            </w:tcBorders>
            <w:vAlign w:val="center"/>
          </w:tcPr>
          <w:p w14:paraId="1F59249D" w14:textId="03FF9133" w:rsidR="5664D07D" w:rsidRPr="00720865" w:rsidRDefault="5664D07D" w:rsidP="002A765B">
            <w:pPr>
              <w:pStyle w:val="Custom"/>
              <w:rPr>
                <w:b w:val="0"/>
                <w:bCs w:val="0"/>
              </w:rPr>
            </w:pPr>
            <w:r w:rsidRPr="00720865">
              <w:rPr>
                <w:b w:val="0"/>
                <w:bCs w:val="0"/>
              </w:rPr>
              <w:t>Policy official European Commission</w:t>
            </w:r>
          </w:p>
        </w:tc>
        <w:tc>
          <w:tcPr>
            <w:tcW w:w="1102" w:type="pct"/>
            <w:tcBorders>
              <w:top w:val="nil"/>
              <w:left w:val="nil"/>
              <w:bottom w:val="nil"/>
              <w:right w:val="nil"/>
            </w:tcBorders>
            <w:vAlign w:val="center"/>
          </w:tcPr>
          <w:p w14:paraId="54C7DFD3" w14:textId="00D44083" w:rsidR="5664D07D" w:rsidRPr="00720865" w:rsidRDefault="5664D07D" w:rsidP="002A765B">
            <w:pPr>
              <w:pStyle w:val="Custom"/>
              <w:rPr>
                <w:b w:val="0"/>
                <w:bCs w:val="0"/>
              </w:rPr>
            </w:pPr>
            <w:r w:rsidRPr="00720865">
              <w:rPr>
                <w:b w:val="0"/>
                <w:bCs w:val="0"/>
              </w:rPr>
              <w:t>March 2022</w:t>
            </w:r>
          </w:p>
        </w:tc>
      </w:tr>
      <w:tr w:rsidR="008C013A" w:rsidRPr="00720865" w14:paraId="299F10CE" w14:textId="77777777" w:rsidTr="00A32B4F">
        <w:trPr>
          <w:trHeight w:val="542"/>
        </w:trPr>
        <w:tc>
          <w:tcPr>
            <w:tcW w:w="871" w:type="pct"/>
            <w:tcBorders>
              <w:top w:val="nil"/>
              <w:left w:val="nil"/>
              <w:bottom w:val="nil"/>
              <w:right w:val="nil"/>
            </w:tcBorders>
            <w:vAlign w:val="center"/>
          </w:tcPr>
          <w:p w14:paraId="5481F3A2" w14:textId="71645798" w:rsidR="5664D07D" w:rsidRPr="00720865" w:rsidRDefault="5664D07D" w:rsidP="002A765B">
            <w:pPr>
              <w:pStyle w:val="Custom"/>
              <w:rPr>
                <w:b w:val="0"/>
                <w:bCs w:val="0"/>
              </w:rPr>
            </w:pPr>
            <w:r w:rsidRPr="00720865">
              <w:rPr>
                <w:b w:val="0"/>
                <w:bCs w:val="0"/>
              </w:rPr>
              <w:t xml:space="preserve">Interview </w:t>
            </w:r>
            <w:r w:rsidR="005912A2">
              <w:rPr>
                <w:b w:val="0"/>
                <w:bCs w:val="0"/>
              </w:rPr>
              <w:t>6</w:t>
            </w:r>
          </w:p>
        </w:tc>
        <w:tc>
          <w:tcPr>
            <w:tcW w:w="3027" w:type="pct"/>
            <w:tcBorders>
              <w:top w:val="nil"/>
              <w:left w:val="nil"/>
              <w:bottom w:val="nil"/>
              <w:right w:val="nil"/>
            </w:tcBorders>
            <w:vAlign w:val="center"/>
          </w:tcPr>
          <w:p w14:paraId="3E0EAE56" w14:textId="7EFAD062" w:rsidR="008C013A" w:rsidRPr="00720865" w:rsidRDefault="5664D07D" w:rsidP="002A765B">
            <w:pPr>
              <w:pStyle w:val="Custom"/>
              <w:rPr>
                <w:b w:val="0"/>
                <w:bCs w:val="0"/>
              </w:rPr>
            </w:pPr>
            <w:r w:rsidRPr="00720865">
              <w:rPr>
                <w:b w:val="0"/>
                <w:bCs w:val="0"/>
              </w:rPr>
              <w:t>Policy official European Commission</w:t>
            </w:r>
          </w:p>
        </w:tc>
        <w:tc>
          <w:tcPr>
            <w:tcW w:w="1102" w:type="pct"/>
            <w:tcBorders>
              <w:top w:val="nil"/>
              <w:left w:val="nil"/>
              <w:bottom w:val="nil"/>
              <w:right w:val="nil"/>
            </w:tcBorders>
            <w:vAlign w:val="center"/>
          </w:tcPr>
          <w:p w14:paraId="5443018B" w14:textId="77777777" w:rsidR="008C013A" w:rsidRPr="00720865" w:rsidRDefault="008C013A" w:rsidP="002A765B">
            <w:pPr>
              <w:pStyle w:val="Custom"/>
              <w:rPr>
                <w:b w:val="0"/>
                <w:bCs w:val="0"/>
              </w:rPr>
            </w:pPr>
            <w:r w:rsidRPr="00720865">
              <w:rPr>
                <w:b w:val="0"/>
                <w:bCs w:val="0"/>
              </w:rPr>
              <w:t>April 2022</w:t>
            </w:r>
          </w:p>
        </w:tc>
      </w:tr>
      <w:tr w:rsidR="008C013A" w:rsidRPr="00720865" w14:paraId="225993D9" w14:textId="77777777" w:rsidTr="00A32B4F">
        <w:trPr>
          <w:trHeight w:val="542"/>
        </w:trPr>
        <w:tc>
          <w:tcPr>
            <w:tcW w:w="871" w:type="pct"/>
            <w:tcBorders>
              <w:top w:val="nil"/>
              <w:left w:val="nil"/>
              <w:bottom w:val="nil"/>
              <w:right w:val="nil"/>
            </w:tcBorders>
            <w:vAlign w:val="center"/>
          </w:tcPr>
          <w:p w14:paraId="790EACAA" w14:textId="48A73DA4" w:rsidR="5664D07D" w:rsidRPr="00720865" w:rsidRDefault="5664D07D" w:rsidP="002A765B">
            <w:pPr>
              <w:pStyle w:val="Custom"/>
              <w:rPr>
                <w:b w:val="0"/>
                <w:bCs w:val="0"/>
              </w:rPr>
            </w:pPr>
            <w:r w:rsidRPr="00720865">
              <w:rPr>
                <w:b w:val="0"/>
                <w:bCs w:val="0"/>
              </w:rPr>
              <w:t xml:space="preserve">Interview </w:t>
            </w:r>
            <w:r w:rsidR="005912A2">
              <w:rPr>
                <w:b w:val="0"/>
                <w:bCs w:val="0"/>
              </w:rPr>
              <w:t>7</w:t>
            </w:r>
          </w:p>
        </w:tc>
        <w:tc>
          <w:tcPr>
            <w:tcW w:w="3027" w:type="pct"/>
            <w:tcBorders>
              <w:top w:val="nil"/>
              <w:left w:val="nil"/>
              <w:bottom w:val="nil"/>
              <w:right w:val="nil"/>
            </w:tcBorders>
            <w:vAlign w:val="center"/>
          </w:tcPr>
          <w:p w14:paraId="0451236B" w14:textId="3417680C" w:rsidR="008C013A" w:rsidRPr="00720865" w:rsidRDefault="5664D07D" w:rsidP="002A765B">
            <w:pPr>
              <w:pStyle w:val="Custom"/>
              <w:rPr>
                <w:b w:val="0"/>
                <w:bCs w:val="0"/>
              </w:rPr>
            </w:pPr>
            <w:r w:rsidRPr="00720865">
              <w:rPr>
                <w:b w:val="0"/>
                <w:bCs w:val="0"/>
              </w:rPr>
              <w:t>Former senior executive, BMWE</w:t>
            </w:r>
          </w:p>
        </w:tc>
        <w:tc>
          <w:tcPr>
            <w:tcW w:w="1102" w:type="pct"/>
            <w:tcBorders>
              <w:top w:val="nil"/>
              <w:left w:val="nil"/>
              <w:bottom w:val="nil"/>
              <w:right w:val="nil"/>
            </w:tcBorders>
            <w:vAlign w:val="center"/>
          </w:tcPr>
          <w:p w14:paraId="37C88315" w14:textId="77777777" w:rsidR="008C013A" w:rsidRPr="00720865" w:rsidRDefault="008C013A" w:rsidP="002A765B">
            <w:pPr>
              <w:pStyle w:val="Custom"/>
              <w:rPr>
                <w:b w:val="0"/>
                <w:bCs w:val="0"/>
              </w:rPr>
            </w:pPr>
            <w:r w:rsidRPr="00720865">
              <w:rPr>
                <w:b w:val="0"/>
                <w:bCs w:val="0"/>
              </w:rPr>
              <w:t>November 2022</w:t>
            </w:r>
          </w:p>
        </w:tc>
      </w:tr>
      <w:tr w:rsidR="008C013A" w:rsidRPr="00720865" w14:paraId="1A04FCD4" w14:textId="77777777" w:rsidTr="00A32B4F">
        <w:trPr>
          <w:trHeight w:val="597"/>
        </w:trPr>
        <w:tc>
          <w:tcPr>
            <w:tcW w:w="871" w:type="pct"/>
            <w:tcBorders>
              <w:top w:val="nil"/>
              <w:left w:val="nil"/>
              <w:bottom w:val="nil"/>
              <w:right w:val="nil"/>
            </w:tcBorders>
            <w:vAlign w:val="center"/>
          </w:tcPr>
          <w:p w14:paraId="5057DD27" w14:textId="43662F6F" w:rsidR="5664D07D" w:rsidRPr="00720865" w:rsidRDefault="5664D07D" w:rsidP="002A765B">
            <w:pPr>
              <w:pStyle w:val="Custom"/>
              <w:rPr>
                <w:b w:val="0"/>
                <w:bCs w:val="0"/>
              </w:rPr>
            </w:pPr>
            <w:r w:rsidRPr="00720865">
              <w:rPr>
                <w:b w:val="0"/>
                <w:bCs w:val="0"/>
              </w:rPr>
              <w:t xml:space="preserve">Interview </w:t>
            </w:r>
            <w:r w:rsidR="005912A2">
              <w:rPr>
                <w:b w:val="0"/>
                <w:bCs w:val="0"/>
              </w:rPr>
              <w:t>8</w:t>
            </w:r>
          </w:p>
        </w:tc>
        <w:tc>
          <w:tcPr>
            <w:tcW w:w="3027" w:type="pct"/>
            <w:tcBorders>
              <w:top w:val="nil"/>
              <w:left w:val="nil"/>
              <w:bottom w:val="nil"/>
              <w:right w:val="nil"/>
            </w:tcBorders>
            <w:vAlign w:val="center"/>
          </w:tcPr>
          <w:p w14:paraId="7A29CEEB" w14:textId="26558B4D" w:rsidR="008C013A" w:rsidRPr="00720865" w:rsidRDefault="5664D07D" w:rsidP="002A765B">
            <w:pPr>
              <w:pStyle w:val="Custom"/>
              <w:rPr>
                <w:b w:val="0"/>
                <w:bCs w:val="0"/>
              </w:rPr>
            </w:pPr>
            <w:r w:rsidRPr="00720865">
              <w:rPr>
                <w:b w:val="0"/>
                <w:bCs w:val="0"/>
              </w:rPr>
              <w:t>Former senior executive, BMWE</w:t>
            </w:r>
          </w:p>
        </w:tc>
        <w:tc>
          <w:tcPr>
            <w:tcW w:w="1102" w:type="pct"/>
            <w:tcBorders>
              <w:top w:val="nil"/>
              <w:left w:val="nil"/>
              <w:bottom w:val="nil"/>
              <w:right w:val="nil"/>
            </w:tcBorders>
            <w:vAlign w:val="center"/>
          </w:tcPr>
          <w:p w14:paraId="30F3F4D9" w14:textId="77777777" w:rsidR="008C013A" w:rsidRPr="00720865" w:rsidRDefault="008C013A" w:rsidP="002A765B">
            <w:pPr>
              <w:pStyle w:val="Custom"/>
              <w:rPr>
                <w:b w:val="0"/>
                <w:bCs w:val="0"/>
              </w:rPr>
            </w:pPr>
            <w:r w:rsidRPr="00720865">
              <w:rPr>
                <w:b w:val="0"/>
                <w:bCs w:val="0"/>
              </w:rPr>
              <w:t>December 2022</w:t>
            </w:r>
          </w:p>
        </w:tc>
      </w:tr>
      <w:tr w:rsidR="008C013A" w:rsidRPr="00720865" w14:paraId="28FD1257" w14:textId="77777777" w:rsidTr="00A32B4F">
        <w:trPr>
          <w:trHeight w:val="597"/>
        </w:trPr>
        <w:tc>
          <w:tcPr>
            <w:tcW w:w="871" w:type="pct"/>
            <w:tcBorders>
              <w:top w:val="nil"/>
              <w:left w:val="nil"/>
              <w:bottom w:val="nil"/>
              <w:right w:val="nil"/>
            </w:tcBorders>
            <w:vAlign w:val="center"/>
          </w:tcPr>
          <w:p w14:paraId="34943D56" w14:textId="11AC88F1" w:rsidR="5664D07D" w:rsidRPr="00720865" w:rsidRDefault="5664D07D" w:rsidP="002A765B">
            <w:pPr>
              <w:pStyle w:val="Custom"/>
              <w:rPr>
                <w:b w:val="0"/>
                <w:bCs w:val="0"/>
              </w:rPr>
            </w:pPr>
            <w:r w:rsidRPr="00720865">
              <w:rPr>
                <w:b w:val="0"/>
                <w:bCs w:val="0"/>
              </w:rPr>
              <w:t xml:space="preserve">Interview </w:t>
            </w:r>
            <w:r w:rsidR="005912A2">
              <w:rPr>
                <w:b w:val="0"/>
                <w:bCs w:val="0"/>
              </w:rPr>
              <w:t>9</w:t>
            </w:r>
          </w:p>
        </w:tc>
        <w:tc>
          <w:tcPr>
            <w:tcW w:w="3027" w:type="pct"/>
            <w:tcBorders>
              <w:top w:val="nil"/>
              <w:left w:val="nil"/>
              <w:bottom w:val="nil"/>
              <w:right w:val="nil"/>
            </w:tcBorders>
            <w:vAlign w:val="center"/>
          </w:tcPr>
          <w:p w14:paraId="379C5E73" w14:textId="2D13083A" w:rsidR="008C013A" w:rsidRPr="00720865" w:rsidRDefault="5664D07D" w:rsidP="002A765B">
            <w:pPr>
              <w:pStyle w:val="Custom"/>
              <w:rPr>
                <w:b w:val="0"/>
                <w:bCs w:val="0"/>
              </w:rPr>
            </w:pPr>
            <w:r w:rsidRPr="00720865">
              <w:rPr>
                <w:b w:val="0"/>
                <w:bCs w:val="0"/>
              </w:rPr>
              <w:t>EU Commission official</w:t>
            </w:r>
          </w:p>
        </w:tc>
        <w:tc>
          <w:tcPr>
            <w:tcW w:w="1102" w:type="pct"/>
            <w:tcBorders>
              <w:top w:val="nil"/>
              <w:left w:val="nil"/>
              <w:bottom w:val="nil"/>
              <w:right w:val="nil"/>
            </w:tcBorders>
            <w:vAlign w:val="center"/>
          </w:tcPr>
          <w:p w14:paraId="04E03926" w14:textId="77777777" w:rsidR="008C013A" w:rsidRPr="00720865" w:rsidRDefault="008C013A" w:rsidP="002A765B">
            <w:pPr>
              <w:pStyle w:val="Custom"/>
              <w:rPr>
                <w:b w:val="0"/>
                <w:bCs w:val="0"/>
              </w:rPr>
            </w:pPr>
            <w:r w:rsidRPr="00720865">
              <w:rPr>
                <w:b w:val="0"/>
                <w:bCs w:val="0"/>
              </w:rPr>
              <w:t>January 2023</w:t>
            </w:r>
          </w:p>
        </w:tc>
      </w:tr>
      <w:tr w:rsidR="008C013A" w:rsidRPr="00720865" w14:paraId="5AF08E5D" w14:textId="77777777" w:rsidTr="00A32B4F">
        <w:trPr>
          <w:trHeight w:val="542"/>
        </w:trPr>
        <w:tc>
          <w:tcPr>
            <w:tcW w:w="871" w:type="pct"/>
            <w:tcBorders>
              <w:top w:val="nil"/>
              <w:left w:val="nil"/>
              <w:bottom w:val="nil"/>
              <w:right w:val="nil"/>
            </w:tcBorders>
            <w:vAlign w:val="center"/>
          </w:tcPr>
          <w:p w14:paraId="718BFDBA" w14:textId="0D1A4555" w:rsidR="5664D07D" w:rsidRPr="00720865" w:rsidRDefault="5664D07D" w:rsidP="002A765B">
            <w:pPr>
              <w:pStyle w:val="Custom"/>
              <w:rPr>
                <w:b w:val="0"/>
                <w:bCs w:val="0"/>
              </w:rPr>
            </w:pPr>
            <w:r w:rsidRPr="00720865">
              <w:rPr>
                <w:b w:val="0"/>
                <w:bCs w:val="0"/>
              </w:rPr>
              <w:t xml:space="preserve">Interview </w:t>
            </w:r>
            <w:r w:rsidR="005912A2">
              <w:rPr>
                <w:b w:val="0"/>
                <w:bCs w:val="0"/>
              </w:rPr>
              <w:t>10</w:t>
            </w:r>
          </w:p>
        </w:tc>
        <w:tc>
          <w:tcPr>
            <w:tcW w:w="3027" w:type="pct"/>
            <w:tcBorders>
              <w:top w:val="nil"/>
              <w:left w:val="nil"/>
              <w:bottom w:val="nil"/>
              <w:right w:val="nil"/>
            </w:tcBorders>
            <w:vAlign w:val="center"/>
          </w:tcPr>
          <w:p w14:paraId="3B857EFF" w14:textId="5ED4C93D" w:rsidR="008C013A" w:rsidRPr="00720865" w:rsidRDefault="5664D07D" w:rsidP="002A765B">
            <w:pPr>
              <w:pStyle w:val="Custom"/>
              <w:rPr>
                <w:b w:val="0"/>
                <w:bCs w:val="0"/>
              </w:rPr>
            </w:pPr>
            <w:r w:rsidRPr="00720865">
              <w:rPr>
                <w:b w:val="0"/>
                <w:bCs w:val="0"/>
              </w:rPr>
              <w:t>Former Commission official &amp; expert</w:t>
            </w:r>
          </w:p>
        </w:tc>
        <w:tc>
          <w:tcPr>
            <w:tcW w:w="1102" w:type="pct"/>
            <w:tcBorders>
              <w:top w:val="nil"/>
              <w:left w:val="nil"/>
              <w:bottom w:val="nil"/>
              <w:right w:val="nil"/>
            </w:tcBorders>
            <w:vAlign w:val="center"/>
          </w:tcPr>
          <w:p w14:paraId="0B65C984" w14:textId="77777777" w:rsidR="008C013A" w:rsidRPr="00720865" w:rsidRDefault="008C013A" w:rsidP="002A765B">
            <w:pPr>
              <w:pStyle w:val="Custom"/>
              <w:rPr>
                <w:b w:val="0"/>
                <w:bCs w:val="0"/>
              </w:rPr>
            </w:pPr>
            <w:r w:rsidRPr="00720865">
              <w:rPr>
                <w:b w:val="0"/>
                <w:bCs w:val="0"/>
              </w:rPr>
              <w:t>January 2023</w:t>
            </w:r>
          </w:p>
        </w:tc>
      </w:tr>
      <w:tr w:rsidR="008C013A" w:rsidRPr="00720865" w14:paraId="77FF1A57" w14:textId="77777777" w:rsidTr="00A32B4F">
        <w:trPr>
          <w:trHeight w:val="616"/>
        </w:trPr>
        <w:tc>
          <w:tcPr>
            <w:tcW w:w="871" w:type="pct"/>
            <w:tcBorders>
              <w:top w:val="nil"/>
              <w:left w:val="nil"/>
              <w:bottom w:val="single" w:sz="7" w:space="0" w:color="000000" w:themeColor="text1"/>
              <w:right w:val="nil"/>
            </w:tcBorders>
            <w:vAlign w:val="center"/>
          </w:tcPr>
          <w:p w14:paraId="06B4F2C3" w14:textId="61BD666C" w:rsidR="5664D07D" w:rsidRPr="00720865" w:rsidRDefault="5664D07D" w:rsidP="002A765B">
            <w:pPr>
              <w:pStyle w:val="Custom"/>
              <w:rPr>
                <w:b w:val="0"/>
                <w:bCs w:val="0"/>
              </w:rPr>
            </w:pPr>
            <w:r w:rsidRPr="00720865">
              <w:rPr>
                <w:b w:val="0"/>
                <w:bCs w:val="0"/>
              </w:rPr>
              <w:t>Interview 1</w:t>
            </w:r>
            <w:r w:rsidR="005912A2">
              <w:rPr>
                <w:b w:val="0"/>
                <w:bCs w:val="0"/>
              </w:rPr>
              <w:t>1</w:t>
            </w:r>
          </w:p>
        </w:tc>
        <w:tc>
          <w:tcPr>
            <w:tcW w:w="3027" w:type="pct"/>
            <w:tcBorders>
              <w:top w:val="nil"/>
              <w:left w:val="nil"/>
              <w:bottom w:val="single" w:sz="7" w:space="0" w:color="000000" w:themeColor="text1"/>
              <w:right w:val="nil"/>
            </w:tcBorders>
            <w:vAlign w:val="center"/>
          </w:tcPr>
          <w:p w14:paraId="680F898E" w14:textId="0A5ABF0D" w:rsidR="5664D07D" w:rsidRPr="00720865" w:rsidRDefault="5664D07D" w:rsidP="002A765B">
            <w:pPr>
              <w:pStyle w:val="Custom"/>
              <w:rPr>
                <w:b w:val="0"/>
                <w:bCs w:val="0"/>
              </w:rPr>
            </w:pPr>
            <w:r w:rsidRPr="00720865">
              <w:rPr>
                <w:b w:val="0"/>
                <w:bCs w:val="0"/>
              </w:rPr>
              <w:t>EU Commission official</w:t>
            </w:r>
          </w:p>
        </w:tc>
        <w:tc>
          <w:tcPr>
            <w:tcW w:w="1102" w:type="pct"/>
            <w:tcBorders>
              <w:top w:val="nil"/>
              <w:left w:val="nil"/>
              <w:bottom w:val="single" w:sz="7" w:space="0" w:color="000000" w:themeColor="text1"/>
              <w:right w:val="nil"/>
            </w:tcBorders>
            <w:vAlign w:val="center"/>
          </w:tcPr>
          <w:p w14:paraId="011C1203" w14:textId="77777777" w:rsidR="5664D07D" w:rsidRPr="00720865" w:rsidRDefault="5664D07D" w:rsidP="002A765B">
            <w:pPr>
              <w:pStyle w:val="Custom"/>
              <w:rPr>
                <w:b w:val="0"/>
                <w:bCs w:val="0"/>
              </w:rPr>
            </w:pPr>
            <w:r w:rsidRPr="00720865">
              <w:rPr>
                <w:b w:val="0"/>
                <w:bCs w:val="0"/>
              </w:rPr>
              <w:t>January 2023</w:t>
            </w:r>
          </w:p>
        </w:tc>
      </w:tr>
    </w:tbl>
    <w:p w14:paraId="19839DFC" w14:textId="77777777" w:rsidR="00720865" w:rsidRDefault="00720865" w:rsidP="00720865">
      <w:pPr>
        <w:pStyle w:val="BodyText"/>
        <w:rPr>
          <w:lang w:val="en-US"/>
        </w:rPr>
      </w:pPr>
    </w:p>
    <w:p w14:paraId="08A86079" w14:textId="77777777" w:rsidR="00720865" w:rsidRDefault="00720865" w:rsidP="00720865">
      <w:pPr>
        <w:pStyle w:val="BodyText"/>
        <w:rPr>
          <w:lang w:val="en-US"/>
        </w:rPr>
      </w:pPr>
    </w:p>
    <w:p w14:paraId="799BD9F6" w14:textId="77777777" w:rsidR="00720865" w:rsidRDefault="00720865" w:rsidP="00720865">
      <w:pPr>
        <w:pStyle w:val="BodyText"/>
        <w:rPr>
          <w:lang w:val="en-US"/>
        </w:rPr>
      </w:pPr>
    </w:p>
    <w:p w14:paraId="072A05FC" w14:textId="77777777" w:rsidR="008C013A" w:rsidRDefault="008C013A" w:rsidP="002A765B">
      <w:pPr>
        <w:pStyle w:val="Custom"/>
        <w:numPr>
          <w:ilvl w:val="0"/>
          <w:numId w:val="1"/>
        </w:numPr>
      </w:pPr>
      <w:r>
        <w:t>Data collection</w:t>
      </w:r>
    </w:p>
    <w:p w14:paraId="0A828B5A" w14:textId="59170980" w:rsidR="008C013A" w:rsidRDefault="008C013A" w:rsidP="00720865">
      <w:pPr>
        <w:pStyle w:val="Custom"/>
        <w:rPr>
          <w:b w:val="0"/>
          <w:bCs w:val="0"/>
        </w:rPr>
      </w:pPr>
      <w:r w:rsidRPr="00720865">
        <w:rPr>
          <w:b w:val="0"/>
          <w:bCs w:val="0"/>
        </w:rPr>
        <w:t>We scraped all documents in the categories ‘press release’, ‘speech’ and ‘statement’ from the Commission’s press corner (</w:t>
      </w:r>
      <w:hyperlink r:id="rId5" w:history="1">
        <w:r w:rsidRPr="00720865">
          <w:rPr>
            <w:rStyle w:val="Hyperlink"/>
            <w:b w:val="0"/>
            <w:bCs w:val="0"/>
          </w:rPr>
          <w:t>https://ec.europa.eu/commission/presscorner/home/en</w:t>
        </w:r>
      </w:hyperlink>
      <w:r w:rsidRPr="00720865">
        <w:rPr>
          <w:b w:val="0"/>
          <w:bCs w:val="0"/>
        </w:rPr>
        <w:t>), resulting in 6</w:t>
      </w:r>
      <w:r w:rsidR="004B59C7">
        <w:rPr>
          <w:b w:val="0"/>
          <w:bCs w:val="0"/>
        </w:rPr>
        <w:t>6</w:t>
      </w:r>
      <w:r w:rsidRPr="00720865">
        <w:rPr>
          <w:b w:val="0"/>
          <w:bCs w:val="0"/>
        </w:rPr>
        <w:t>.</w:t>
      </w:r>
      <w:r w:rsidR="004B59C7">
        <w:rPr>
          <w:b w:val="0"/>
          <w:bCs w:val="0"/>
        </w:rPr>
        <w:t>548</w:t>
      </w:r>
      <w:r w:rsidRPr="00720865">
        <w:rPr>
          <w:b w:val="0"/>
          <w:bCs w:val="0"/>
        </w:rPr>
        <w:t xml:space="preserve"> documents from January 7, 1985 to </w:t>
      </w:r>
      <w:r w:rsidR="00E449C6">
        <w:rPr>
          <w:b w:val="0"/>
          <w:bCs w:val="0"/>
        </w:rPr>
        <w:t>July</w:t>
      </w:r>
      <w:r w:rsidRPr="00720865">
        <w:rPr>
          <w:b w:val="0"/>
          <w:bCs w:val="0"/>
        </w:rPr>
        <w:t xml:space="preserve"> </w:t>
      </w:r>
      <w:r w:rsidR="00E449C6">
        <w:rPr>
          <w:b w:val="0"/>
          <w:bCs w:val="0"/>
        </w:rPr>
        <w:t>4</w:t>
      </w:r>
      <w:r w:rsidRPr="00720865">
        <w:rPr>
          <w:b w:val="0"/>
          <w:bCs w:val="0"/>
        </w:rPr>
        <w:t xml:space="preserve">, 2023. For simplicity, we only retained documents in English, although transformer-based models work very well with multilingual data </w:t>
      </w:r>
      <w:r w:rsidRPr="00720865">
        <w:rPr>
          <w:b w:val="0"/>
          <w:bCs w:val="0"/>
        </w:rPr>
        <w:fldChar w:fldCharType="begin"/>
      </w:r>
      <w:r w:rsidRPr="00720865">
        <w:rPr>
          <w:b w:val="0"/>
          <w:bCs w:val="0"/>
        </w:rPr>
        <w:instrText xml:space="preserve"> ADDIN ZOTERO_ITEM CSL_CITATION {"citationID":"jKxvbFEV","properties":{"formattedCitation":"(Licht, 2023)","plainCitation":"(Licht, 2023)","noteIndex":0},"citationItems":[{"id":14969,"uris":["http://zotero.org/users/5486133/items/HRT85MYL"],"itemData":{"id":14969,"type":"article-journal","abstract":"Established approaches to analyze multilingual text corpora require either a duplication of analysts’ efforts or high-quality machine translation (MT). In this paper, I argue that multilingual sentence embedding (MSE) is an attractive alternative approach to language-independent text representation. To support this argument, I evaluate MSE for cross-lingual supervised text classification. Specifically, I assess how reliably MSE-based classifiers detect manifesto sentences’ topics and positions compared to classifiers trained using bag-ofwords representations of machine-translated texts, and how this depends on the amount of training data. These analyses show that when training data are relatively scarce (e.g., 20K or less-labeled sentences), MSEbased classifiers can be more reliable and are at least no less reliable than their MT-based counterparts. Furthermore, I examine how reliable MSE-based classifiers label sentences written in languages not in the training data, focusing on the task of discriminating sentences that discuss the issue of immigration from those that do not. This analysis shows that compared to the within-language classification benchmark, such “cross-lingual transfer” tends to result in fewer reliability losses when relying on the MSE instead of the MT approach. This study thus presents an important addition to the cross-lingual text analysis toolkit.","container-title":"Political Analysis","DOI":"10.1017/pan.2022.29","ISSN":"1047-1987, 1476-4989","journalAbbreviation":"Polit. Anal.","language":"en","page":"1-14","source":"DOI.org (Crossref)","title":"Cross-Lingual Classification of Political Texts Using Multilingual Sentence Embeddings","author":[{"family":"Licht","given":"Hauke"}],"issued":{"date-parts":[["2023",1,26]]},"citation-key":"Licht.2023"}}],"schema":"https://github.com/citation-style-language/schema/raw/master/csl-citation.json"} </w:instrText>
      </w:r>
      <w:r w:rsidRPr="00720865">
        <w:rPr>
          <w:b w:val="0"/>
          <w:bCs w:val="0"/>
        </w:rPr>
        <w:fldChar w:fldCharType="separate"/>
      </w:r>
      <w:r w:rsidRPr="00720865">
        <w:rPr>
          <w:b w:val="0"/>
          <w:bCs w:val="0"/>
          <w:noProof/>
        </w:rPr>
        <w:t>(Licht, 2023)</w:t>
      </w:r>
      <w:r w:rsidRPr="00720865">
        <w:rPr>
          <w:b w:val="0"/>
          <w:bCs w:val="0"/>
        </w:rPr>
        <w:fldChar w:fldCharType="end"/>
      </w:r>
      <w:r w:rsidRPr="00720865">
        <w:rPr>
          <w:b w:val="0"/>
          <w:bCs w:val="0"/>
        </w:rPr>
        <w:t xml:space="preserve">. Fig 1 gives an overview of the distribution of these documents, which closely resembles the distribution in Rauh </w:t>
      </w:r>
      <w:r w:rsidRPr="00720865">
        <w:rPr>
          <w:b w:val="0"/>
          <w:bCs w:val="0"/>
        </w:rPr>
        <w:fldChar w:fldCharType="begin"/>
      </w:r>
      <w:r w:rsidRPr="00720865">
        <w:rPr>
          <w:b w:val="0"/>
          <w:bCs w:val="0"/>
        </w:rPr>
        <w:instrText xml:space="preserve"> ADDIN ZOTERO_ITEM CSL_CITATION {"citationID":"LO0S2sxh","properties":{"formattedCitation":"(2022)","plainCitation":"(2022)","noteIndex":0},"citationItems":[{"id":14302,"uris":["http://zotero.org/users/5486133/items/E6FCRA96"],"itemData":{"id":14302,"type":"article-journal","abstract":"The public politicisation of European integration indicates a growing demand for public communication of supranational politics. This paper highlights that the messages the European Commission sends to its citizens do not meet this demand. A text analysis of almost 45,000 press releases the Commission has issued during 35 years of European integration rather indicates an extre­ mely technocratic style of communication. Benchmarked against large samples of national executive communication, public political media, and scientific discourse, the Commission used and notably continues to use very complex language, specialized jargon, and a nominal style that obfuscates political action. This appears dis­ advantageous in a politicized context and more research on the reasons for this apparent communication deficit is needed.","container-title":"Journal of European Integration","DOI":"10.1080/07036337.2022.2134860","ISSN":"0703-6337, 1477-2280","journalAbbreviation":"Journal of European Integration","language":"en","page":"1-19","source":"DOI.org (Crossref)","title":"Clear messages to the European public? The language of European Commission press releases 1985–2020","title-short":"Clear messages to the European public?","author":[{"family":"Rauh","given":"Christian"}],"issued":{"date-parts":[["2022",10,15]]},"citation-key":"Rauh.2022a"},"label":"page","suppress-author":true}],"schema":"https://github.com/citation-style-language/schema/raw/master/csl-citation.json"} </w:instrText>
      </w:r>
      <w:r w:rsidRPr="00720865">
        <w:rPr>
          <w:b w:val="0"/>
          <w:bCs w:val="0"/>
        </w:rPr>
        <w:fldChar w:fldCharType="separate"/>
      </w:r>
      <w:r w:rsidRPr="00720865">
        <w:rPr>
          <w:b w:val="0"/>
          <w:bCs w:val="0"/>
          <w:noProof/>
        </w:rPr>
        <w:t>(2022)</w:t>
      </w:r>
      <w:r w:rsidRPr="00720865">
        <w:rPr>
          <w:b w:val="0"/>
          <w:bCs w:val="0"/>
        </w:rPr>
        <w:fldChar w:fldCharType="end"/>
      </w:r>
      <w:r w:rsidRPr="00720865">
        <w:rPr>
          <w:b w:val="0"/>
          <w:bCs w:val="0"/>
        </w:rPr>
        <w:t xml:space="preserve">, who, however, only collected press releases and only until 2020. </w:t>
      </w:r>
    </w:p>
    <w:p w14:paraId="6B2E7D49" w14:textId="745BE324" w:rsidR="007E7524" w:rsidRDefault="007E7524" w:rsidP="007E7524">
      <w:pPr>
        <w:pStyle w:val="Caption"/>
        <w:keepNext/>
      </w:pPr>
      <w:r>
        <w:t xml:space="preserve">Figure </w:t>
      </w:r>
      <w:fldSimple w:instr=" SEQ Figure \* ARABIC ">
        <w:r>
          <w:rPr>
            <w:noProof/>
          </w:rPr>
          <w:t>1</w:t>
        </w:r>
      </w:fldSimple>
    </w:p>
    <w:p w14:paraId="34730A7F" w14:textId="5340A5BD" w:rsidR="007E7524" w:rsidRPr="007E7524" w:rsidRDefault="007E7524" w:rsidP="007E7524">
      <w:pPr>
        <w:pStyle w:val="BodyText"/>
        <w:rPr>
          <w:lang w:val="en-US"/>
        </w:rPr>
      </w:pPr>
      <w:r>
        <w:rPr>
          <w:noProof/>
          <w:lang w:val="en-US"/>
        </w:rPr>
        <w:drawing>
          <wp:inline distT="0" distB="0" distL="0" distR="0" wp14:anchorId="72232524" wp14:editId="36FD7980">
            <wp:extent cx="5943600" cy="4160520"/>
            <wp:effectExtent l="0" t="0" r="0" b="5080"/>
            <wp:docPr id="367067118" name="Picture 1" descr="A graph with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067118" name="Picture 1" descr="A graph with different colored lin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160520"/>
                    </a:xfrm>
                    <a:prstGeom prst="rect">
                      <a:avLst/>
                    </a:prstGeom>
                  </pic:spPr>
                </pic:pic>
              </a:graphicData>
            </a:graphic>
          </wp:inline>
        </w:drawing>
      </w:r>
    </w:p>
    <w:p w14:paraId="2D5936B5" w14:textId="17FD3D83" w:rsidR="008C013A" w:rsidRPr="00720865" w:rsidRDefault="008C013A" w:rsidP="008C013A">
      <w:pPr>
        <w:pStyle w:val="Custom"/>
        <w:numPr>
          <w:ilvl w:val="0"/>
          <w:numId w:val="1"/>
        </w:numPr>
      </w:pPr>
      <w:r w:rsidRPr="00464884">
        <w:t>BERTopic</w:t>
      </w:r>
    </w:p>
    <w:p w14:paraId="14924245" w14:textId="77777777" w:rsidR="00720865" w:rsidRPr="00720865" w:rsidRDefault="00720865" w:rsidP="00720865">
      <w:pPr>
        <w:pStyle w:val="Garamond"/>
      </w:pPr>
      <w:r w:rsidRPr="00720865">
        <w:t>BERTopic identifies topics in text corpora through a sequence of steps . It first generates document embeddings with pre-trained transformer-based language models; we specifically used the all-MiniLM-L12-v2 sentence transformer model from Hugging Face; having mapped our sentences to a 384-</w:t>
      </w:r>
      <w:r w:rsidRPr="00720865">
        <w:lastRenderedPageBreak/>
        <w:t xml:space="preserve">dimensional dense vector space, we used Uniform Manifold Approximation and Projection (UMAP) to reduce the dimensionality of this numerical representation; we then use a density-based clustering technique, HDBSCAN, to identify clusters of documents that are near each other in the now 5-dimensional vector space; finally, for topic representation we use class-based term-frequency-inverse-document-frequencies (c-TF-IDF). This allows us to understand what makes one topic different from another based on its cluster- word distribution; in other words, to represent topics as distributions of words that are relatively common for a document cluster but relatively rare in the overall corpus. </w:t>
      </w:r>
    </w:p>
    <w:p w14:paraId="4A051F24" w14:textId="7C442616" w:rsidR="00720865" w:rsidRPr="00720865" w:rsidRDefault="00720865" w:rsidP="00720865">
      <w:pPr>
        <w:pStyle w:val="Garamond"/>
      </w:pPr>
      <w:r w:rsidRPr="00720865">
        <w:t>A key parameter for BERTopic is the minimum cluster size as this has a strong influence on the number of topics and thus how fine-grained they are. After running the model several times with different specifications, we settled on a minimum cluster size of 150. This means that each cluster needs to contain at least 150 documents, which resulted in 398 topics. As can be seen from the figure with all the topics and top 8 topic keywords in the html reproduction file, this produced very sensible topics that neatly match different policy (sub-)areas of EU policymaking. This allowed us to manually identify those that we considered – in the broad sense – relevant for industrial policy area, resulting in</w:t>
      </w:r>
      <w:r w:rsidR="00C876EF">
        <w:t xml:space="preserve"> </w:t>
      </w:r>
      <w:r w:rsidR="00C876EF" w:rsidRPr="00C876EF">
        <w:t xml:space="preserve">259.865 </w:t>
      </w:r>
      <w:r w:rsidRPr="00720865">
        <w:t xml:space="preserve">out of a total of </w:t>
      </w:r>
      <w:r w:rsidR="004B59C7">
        <w:rPr>
          <w:lang w:val="en-GB"/>
        </w:rPr>
        <w:t xml:space="preserve">690.207 </w:t>
      </w:r>
      <w:r w:rsidRPr="00720865">
        <w:t xml:space="preserve">sentence triplets. </w:t>
      </w:r>
    </w:p>
    <w:p w14:paraId="52949964" w14:textId="67BE8607" w:rsidR="008C013A" w:rsidRDefault="00720865" w:rsidP="00720865">
      <w:pPr>
        <w:pStyle w:val="Garamond"/>
      </w:pPr>
      <w:r w:rsidRPr="00720865">
        <w:t>We needed broadly relevant documents to efficiently hand-code a training sample, so it made little sense to include, for example, topics related to infringement procedures. We could have defined our sample even more narrowly, but this should not be a problem given that we rely on our third ‘other’ category to detect statements that are neither about market-creating nor about market-directing. While we only used BERTopic for corpus selection, we want to note that it might prove a very useful tool to detect patterns in large text corpora in its own right, as the quality of topic representation is – at least from ‘eye-balling’ them – very high.</w:t>
      </w:r>
    </w:p>
    <w:p w14:paraId="29CD70CA" w14:textId="77777777" w:rsidR="008C013A" w:rsidRDefault="6B1FF94A" w:rsidP="002A765B">
      <w:pPr>
        <w:pStyle w:val="Custom"/>
        <w:numPr>
          <w:ilvl w:val="0"/>
          <w:numId w:val="1"/>
        </w:numPr>
      </w:pPr>
      <w:r w:rsidRPr="6B1FF94A">
        <w:t>Supervised Learning</w:t>
      </w:r>
    </w:p>
    <w:p w14:paraId="23D16E11" w14:textId="45754D6B" w:rsidR="00C17116" w:rsidRDefault="00720865" w:rsidP="00720865">
      <w:pPr>
        <w:pStyle w:val="Garamond"/>
      </w:pPr>
      <w:r>
        <w:t xml:space="preserve">Our approach strongly builds on recent suggestions for using deep transfer learning for social science applications, described in detail in Laurer et al. </w:t>
      </w:r>
      <w:r>
        <w:fldChar w:fldCharType="begin"/>
      </w:r>
      <w:r>
        <w:instrText xml:space="preserve"> ADDIN ZOTERO_ITEM CSL_CITATION {"citationID":"f2tKjztI","properties":{"formattedCitation":"(2022)","plainCitation":"(2022)","noteIndex":0},"citationItems":[{"id":14313,"uris":["http://zotero.org/users/5486133/items/ISC8WJZR"],"itemData":{"id":14313,"type":"article-journal","abstract":"Supervised machine learning is an increasingly popular tool for analysing large political text corpora. The main disadvantage of supervised machine learning is the need for thousands of manually annotated training data points. This issue is particularly important in the social sciences where most new research questions require the automation of a new task with new and imbalanced training data. This paper analyses how deep transfer learning can help address this challenge by accumulating ‘prior knowledge’ in algorithms. Pre-training algorithms like BERT creates representations of statistical language patterns (‘language knowledge’), and training on universal tasks like Natural Language Inference (NLI) reduces reliance on task-specific data (‘task knowledge’). We systematically show the benefits of transfer learning on a wide range of eight tasks. Across these eight tasks, BERT-NLI fine-tuned on 100 to 2500 data points performs on average 10.7 to 18.3 percentage points better than classical algorithms without transfer learning. Our study indicates that BERT-NLI trained on 500 data points achieves similar average performance as classical algorithms trained on around 5000 data points. Moreover, we show that transfer learning works particularly well on imbalanced data. We conclude by discussing limitations of transfer learning and by outlining new opportunities for political science research.","language":"en","page":"32","source":"Zotero","title":"Less Annotating, More Classifying – Addressing the Data Scarcity Issue of Supervised Machine Learning with Deep Transfer Learning and BERT-NLI","author":[{"family":"Laurer","given":"Moritz"},{"family":"Atteveldt","given":"Wouter","non-dropping-particle":"van"},{"family":"Casas","given":"Andreu"},{"family":"Welbers","given":"Kasper"}],"issued":{"date-parts":[["2022"]]},"citation-key":"Laurer.2022"},"label":"page","suppress-author":true}],"schema":"https://github.com/citation-style-language/schema/raw/master/csl-citation.json"} </w:instrText>
      </w:r>
      <w:r>
        <w:fldChar w:fldCharType="separate"/>
      </w:r>
      <w:r>
        <w:rPr>
          <w:noProof/>
        </w:rPr>
        <w:t>(2022)</w:t>
      </w:r>
      <w:r>
        <w:fldChar w:fldCharType="end"/>
      </w:r>
      <w:r>
        <w:t xml:space="preserve">. We will therefore not reiterate the underlying ideas here in detail, not least because we make all the code itself available. </w:t>
      </w:r>
      <w:r w:rsidR="00C17116">
        <w:t xml:space="preserve">Overall, we hand-coded 960 documents. </w:t>
      </w:r>
      <w:r w:rsidR="008E6976">
        <w:t xml:space="preserve">More information on the coding scheme as well as example codes can be found below. </w:t>
      </w:r>
      <w:r w:rsidR="00C17116">
        <w:t xml:space="preserve">We </w:t>
      </w:r>
      <w:r w:rsidR="00C17116" w:rsidRPr="00C17116">
        <w:t>had 385 documents classified</w:t>
      </w:r>
      <w:r w:rsidR="00C17116">
        <w:t xml:space="preserve"> as market-creating, 192 as market-directing, and </w:t>
      </w:r>
      <w:r w:rsidR="00C17116" w:rsidRPr="00C17116">
        <w:t xml:space="preserve">383 </w:t>
      </w:r>
      <w:r w:rsidR="00C17116">
        <w:t xml:space="preserve">as other. Our training set included 768 </w:t>
      </w:r>
      <w:proofErr w:type="gramStart"/>
      <w:r w:rsidR="00C17116">
        <w:t>documents;</w:t>
      </w:r>
      <w:proofErr w:type="gramEnd"/>
      <w:r w:rsidR="00C17116">
        <w:t xml:space="preserve"> our test set 192 documents (80-20 split). </w:t>
      </w:r>
      <w:r>
        <w:t xml:space="preserve">What our approach essentially involved however, was creating a data frame with a text column (the sentence triplet), a </w:t>
      </w:r>
      <w:r>
        <w:lastRenderedPageBreak/>
        <w:t xml:space="preserve">hypothesis (see below), and a column indicating whether the hypothesis was true or false (which we knew </w:t>
      </w:r>
      <w:r w:rsidR="00C17116">
        <w:t>from the hand-coded documents</w:t>
      </w:r>
      <w:r>
        <w:t xml:space="preserve">). </w:t>
      </w:r>
      <w:r w:rsidR="00C17116">
        <w:t xml:space="preserve">We paired each document with the true and a randomly chosen false hypothesis. For example, if a document was about market-creation, we paired it with the market-creation hypothesis (see below) and set the label to true, and randomly either the market-directing or the other hypothesis and set the label to not-true. This not only essentially doubled our training data, it also allows us to draw not only on the language knowledge of the pretrained model, but also on its task knowledge </w:t>
      </w:r>
      <w:r w:rsidR="00C17116">
        <w:fldChar w:fldCharType="begin"/>
      </w:r>
      <w:r w:rsidR="00C17116">
        <w:instrText xml:space="preserve"> ADDIN ZOTERO_ITEM CSL_CITATION {"citationID":"Pe4ABuWT","properties":{"formattedCitation":"(Laurer et al., 2022)","plainCitation":"(Laurer et al., 2022)","noteIndex":0},"citationItems":[{"id":14313,"uris":["http://zotero.org/users/5486133/items/ISC8WJZR"],"itemData":{"id":14313,"type":"article-journal","abstract":"Supervised machine learning is an increasingly popular tool for analysing large political text corpora. The main disadvantage of supervised machine learning is the need for thousands of manually annotated training data points. This issue is particularly important in the social sciences where most new research questions require the automation of a new task with new and imbalanced training data. This paper analyses how deep transfer learning can help address this challenge by accumulating ‘prior knowledge’ in algorithms. Pre-training algorithms like BERT creates representations of statistical language patterns (‘language knowledge’), and training on universal tasks like Natural Language Inference (NLI) reduces reliance on task-specific data (‘task knowledge’). We systematically show the benefits of transfer learning on a wide range of eight tasks. Across these eight tasks, BERT-NLI fine-tuned on 100 to 2500 data points performs on average 10.7 to 18.3 percentage points better than classical algorithms without transfer learning. Our study indicates that BERT-NLI trained on 500 data points achieves similar average performance as classical algorithms trained on around 5000 data points. Moreover, we show that transfer learning works particularly well on imbalanced data. We conclude by discussing limitations of transfer learning and by outlining new opportunities for political science research.","language":"en","page":"32","source":"Zotero","title":"Less Annotating, More Classifying – Addressing the Data Scarcity Issue of Supervised Machine Learning with Deep Transfer Learning and BERT-NLI","author":[{"family":"Laurer","given":"Moritz"},{"family":"Atteveldt","given":"Wouter","non-dropping-particle":"van"},{"family":"Casas","given":"Andreu"},{"family":"Welbers","given":"Kasper"}],"issued":{"date-parts":[["2022"]]},"citation-key":"Laurer.2022"}}],"schema":"https://github.com/citation-style-language/schema/raw/master/csl-citation.json"} </w:instrText>
      </w:r>
      <w:r w:rsidR="00C17116">
        <w:fldChar w:fldCharType="separate"/>
      </w:r>
      <w:r w:rsidR="00C17116">
        <w:rPr>
          <w:noProof/>
        </w:rPr>
        <w:t>(Laurer et al., 2022)</w:t>
      </w:r>
      <w:r w:rsidR="00C17116">
        <w:fldChar w:fldCharType="end"/>
      </w:r>
      <w:r w:rsidR="00C17116">
        <w:t xml:space="preserve">. We formulated our hypothesis in quite a detailed manner, trying to give the model as much natural language information as possible, in much the same way as human coders would also have. </w:t>
      </w:r>
    </w:p>
    <w:p w14:paraId="60479315" w14:textId="125ADADE" w:rsidR="6B1FF94A" w:rsidRDefault="00C17116" w:rsidP="00720865">
      <w:pPr>
        <w:pStyle w:val="Garamond"/>
      </w:pPr>
      <w:r>
        <w:t xml:space="preserve">Our hypothesis looked as follows: </w:t>
      </w:r>
    </w:p>
    <w:p w14:paraId="28A5A25F" w14:textId="44DE8026" w:rsidR="00C17116" w:rsidRPr="00F278C9" w:rsidRDefault="00C17116" w:rsidP="00C17116">
      <w:pPr>
        <w:pStyle w:val="BodyText"/>
        <w:rPr>
          <w:i/>
          <w:iCs/>
          <w:sz w:val="21"/>
          <w:szCs w:val="21"/>
          <w:lang w:val="en-US"/>
        </w:rPr>
      </w:pPr>
      <w:r w:rsidRPr="00F278C9">
        <w:rPr>
          <w:i/>
          <w:iCs/>
          <w:sz w:val="21"/>
          <w:szCs w:val="21"/>
          <w:lang w:val="en-US"/>
        </w:rPr>
        <w:t xml:space="preserve">    "Market-Creation": "The document is about acts by the state that allow markets to emerge and make possible their (continued) functioning. This is about using industrial and competition policy to make sure markets function smoothly but leaving it to market actors to decide where to invest and where economic activity should take place. Market creation is very skeptical about vertical industrial policies and state aid and tries to restrict governments' role in the economy to the creation of framework conditions framework conditions for undistorted competition. It relies on market mechanisms to address transformations such as the green and digital transitions or structural change, instead of industrial policy instruments such as public funding. Market creation also involves a positive attitude towards free trade and free trade agreements."</w:t>
      </w:r>
    </w:p>
    <w:p w14:paraId="7552E87B" w14:textId="26E6F9D0" w:rsidR="00C17116" w:rsidRPr="00F278C9" w:rsidRDefault="00C17116" w:rsidP="00C17116">
      <w:pPr>
        <w:pStyle w:val="BodyText"/>
        <w:rPr>
          <w:i/>
          <w:iCs/>
          <w:sz w:val="21"/>
          <w:szCs w:val="21"/>
          <w:lang w:val="en-US"/>
        </w:rPr>
      </w:pPr>
      <w:r w:rsidRPr="00F278C9">
        <w:rPr>
          <w:i/>
          <w:iCs/>
          <w:sz w:val="21"/>
          <w:szCs w:val="21"/>
          <w:lang w:val="en-US"/>
        </w:rPr>
        <w:t xml:space="preserve">    "Market-Direction": "The document is about acts by the state that seek to direct markets towards certain desired longer-term outcomes and purposes by steering the accumulation process itself. This is about using industrial and competition policy to steer investments into certain sectors or technologies that are considered important for political or geopolitical reasons. Market direction is comfortable with using industrial policy including state aid, trade defense instruments, or investment funds to direct economic activities towards certain sectors or technologies deemed important for strategic autonomy or technological sovereignty, such as green or digital technologies. Market direction also involves using public investment banks, public incubators, or public venture capital funds to support innovation in critical technologies or sectors as markets often fail in providing innovation. Market direction is also about encouraging skill formation, education, and research and innovation in critical or strategic areas sectors such as artificial </w:t>
      </w:r>
      <w:proofErr w:type="gramStart"/>
      <w:r w:rsidRPr="00F278C9">
        <w:rPr>
          <w:i/>
          <w:iCs/>
          <w:sz w:val="21"/>
          <w:szCs w:val="21"/>
          <w:lang w:val="en-US"/>
        </w:rPr>
        <w:t>intelligence</w:t>
      </w:r>
      <w:proofErr w:type="gramEnd"/>
      <w:r w:rsidRPr="00F278C9">
        <w:rPr>
          <w:i/>
          <w:iCs/>
          <w:sz w:val="21"/>
          <w:szCs w:val="21"/>
          <w:lang w:val="en-US"/>
        </w:rPr>
        <w:t>"</w:t>
      </w:r>
    </w:p>
    <w:p w14:paraId="576F09C1" w14:textId="409EEA87" w:rsidR="00C17116" w:rsidRPr="00F278C9" w:rsidRDefault="00C17116" w:rsidP="008E6976">
      <w:pPr>
        <w:pStyle w:val="BodyText"/>
        <w:rPr>
          <w:i/>
          <w:iCs/>
          <w:sz w:val="21"/>
          <w:szCs w:val="21"/>
          <w:lang w:val="en-US"/>
        </w:rPr>
      </w:pPr>
      <w:r w:rsidRPr="00F278C9">
        <w:rPr>
          <w:i/>
          <w:iCs/>
          <w:sz w:val="21"/>
          <w:szCs w:val="21"/>
          <w:lang w:val="en-US"/>
        </w:rPr>
        <w:t xml:space="preserve">    "Other": "The document is not explicitly or clearly about Market-Creation or about Market-Direction."</w:t>
      </w:r>
    </w:p>
    <w:p w14:paraId="436F3688" w14:textId="68B7F489" w:rsidR="008E6976" w:rsidRDefault="00C17116" w:rsidP="008E6976">
      <w:pPr>
        <w:pStyle w:val="Garamond"/>
      </w:pPr>
      <w:r>
        <w:lastRenderedPageBreak/>
        <w:t xml:space="preserve">Following the suggestions of Laurer et al. </w:t>
      </w:r>
      <w:r>
        <w:fldChar w:fldCharType="begin"/>
      </w:r>
      <w:r w:rsidR="008E6976">
        <w:instrText xml:space="preserve"> ADDIN ZOTERO_ITEM CSL_CITATION {"citationID":"S8DGCs67","properties":{"formattedCitation":"(2022)","plainCitation":"(2022)","noteIndex":0},"citationItems":[{"id":14313,"uris":["http://zotero.org/users/5486133/items/ISC8WJZR"],"itemData":{"id":14313,"type":"article-journal","abstract":"Supervised machine learning is an increasingly popular tool for analysing large political text corpora. The main disadvantage of supervised machine learning is the need for thousands of manually annotated training data points. This issue is particularly important in the social sciences where most new research questions require the automation of a new task with new and imbalanced training data. This paper analyses how deep transfer learning can help address this challenge by accumulating ‘prior knowledge’ in algorithms. Pre-training algorithms like BERT creates representations of statistical language patterns (‘language knowledge’), and training on universal tasks like Natural Language Inference (NLI) reduces reliance on task-specific data (‘task knowledge’). We systematically show the benefits of transfer learning on a wide range of eight tasks. Across these eight tasks, BERT-NLI fine-tuned on 100 to 2500 data points performs on average 10.7 to 18.3 percentage points better than classical algorithms without transfer learning. Our study indicates that BERT-NLI trained on 500 data points achieves similar average performance as classical algorithms trained on around 5000 data points. Moreover, we show that transfer learning works particularly well on imbalanced data. We conclude by discussing limitations of transfer learning and by outlining new opportunities for political science research.","language":"en","page":"32","source":"Zotero","title":"Less Annotating, More Classifying – Addressing the Data Scarcity Issue of Supervised Machine Learning with Deep Transfer Learning and BERT-NLI","author":[{"family":"Laurer","given":"Moritz"},{"family":"Atteveldt","given":"Wouter","non-dropping-particle":"van"},{"family":"Casas","given":"Andreu"},{"family":"Welbers","given":"Kasper"}],"issued":{"date-parts":[["2022"]]},"citation-key":"Laurer.2022"},"label":"page","suppress-author":true}],"schema":"https://github.com/citation-style-language/schema/raw/master/csl-citation.json"} </w:instrText>
      </w:r>
      <w:r>
        <w:fldChar w:fldCharType="separate"/>
      </w:r>
      <w:r w:rsidR="008E6976">
        <w:rPr>
          <w:noProof/>
        </w:rPr>
        <w:t>(2022)</w:t>
      </w:r>
      <w:r>
        <w:fldChar w:fldCharType="end"/>
      </w:r>
      <w:r w:rsidR="008E6976">
        <w:t>, we used standard hyperparameters as they have been shown to work very well and that hyperparameter search is usually not worth the computation cost. Our precise hyperparameter choices are document in the reproduction file. Below we report the evaluation metrics for our model, both the aggregate metrics</w:t>
      </w:r>
      <w:r w:rsidR="00F01A52">
        <w:t xml:space="preserve"> (Table 2)</w:t>
      </w:r>
      <w:r w:rsidR="008E6976">
        <w:t xml:space="preserve"> and the detailed metrics for each category</w:t>
      </w:r>
      <w:r w:rsidR="00F01A52">
        <w:t xml:space="preserve"> (Table 3)</w:t>
      </w:r>
      <w:r w:rsidR="008E6976">
        <w:t xml:space="preserve">. Overall, our model very clearly outperforms a baseline model. Using generally used best-practice metrics, our model is on par with or outperforms similar models </w:t>
      </w:r>
      <w:r w:rsidR="008E6976">
        <w:fldChar w:fldCharType="begin"/>
      </w:r>
      <w:r w:rsidR="008E6976">
        <w:instrText xml:space="preserve"> ADDIN ZOTERO_ITEM CSL_CITATION {"citationID":"hcMN3WsJ","properties":{"formattedCitation":"(Laurer et al., 2022; Licht, 2023)","plainCitation":"(Laurer et al., 2022; Licht, 2023)","noteIndex":0},"citationItems":[{"id":14313,"uris":["http://zotero.org/users/5486133/items/ISC8WJZR"],"itemData":{"id":14313,"type":"article-journal","abstract":"Supervised machine learning is an increasingly popular tool for analysing large political text corpora. The main disadvantage of supervised machine learning is the need for thousands of manually annotated training data points. This issue is particularly important in the social sciences where most new research questions require the automation of a new task with new and imbalanced training data. This paper analyses how deep transfer learning can help address this challenge by accumulating ‘prior knowledge’ in algorithms. Pre-training algorithms like BERT creates representations of statistical language patterns (‘language knowledge’), and training on universal tasks like Natural Language Inference (NLI) reduces reliance on task-specific data (‘task knowledge’). We systematically show the benefits of transfer learning on a wide range of eight tasks. Across these eight tasks, BERT-NLI fine-tuned on 100 to 2500 data points performs on average 10.7 to 18.3 percentage points better than classical algorithms without transfer learning. Our study indicates that BERT-NLI trained on 500 data points achieves similar average performance as classical algorithms trained on around 5000 data points. Moreover, we show that transfer learning works particularly well on imbalanced data. We conclude by discussing limitations of transfer learning and by outlining new opportunities for political science research.","language":"en","page":"32","source":"Zotero","title":"Less Annotating, More Classifying – Addressing the Data Scarcity Issue of Supervised Machine Learning with Deep Transfer Learning and BERT-NLI","author":[{"family":"Laurer","given":"Moritz"},{"family":"Atteveldt","given":"Wouter","non-dropping-particle":"van"},{"family":"Casas","given":"Andreu"},{"family":"Welbers","given":"Kasper"}],"issued":{"date-parts":[["2022"]]},"citation-key":"Laurer.2022"}},{"id":14969,"uris":["http://zotero.org/users/5486133/items/HRT85MYL"],"itemData":{"id":14969,"type":"article-journal","abstract":"Established approaches to analyze multilingual text corpora require either a duplication of analysts’ efforts or high-quality machine translation (MT). In this paper, I argue that multilingual sentence embedding (MSE) is an attractive alternative approach to language-independent text representation. To support this argument, I evaluate MSE for cross-lingual supervised text classification. Specifically, I assess how reliably MSE-based classifiers detect manifesto sentences’ topics and positions compared to classifiers trained using bag-ofwords representations of machine-translated texts, and how this depends on the amount of training data. These analyses show that when training data are relatively scarce (e.g., 20K or less-labeled sentences), MSEbased classifiers can be more reliable and are at least no less reliable than their MT-based counterparts. Furthermore, I examine how reliable MSE-based classifiers label sentences written in languages not in the training data, focusing on the task of discriminating sentences that discuss the issue of immigration from those that do not. This analysis shows that compared to the within-language classification benchmark, such “cross-lingual transfer” tends to result in fewer reliability losses when relying on the MSE instead of the MT approach. This study thus presents an important addition to the cross-lingual text analysis toolkit.","container-title":"Political Analysis","DOI":"10.1017/pan.2022.29","ISSN":"1047-1987, 1476-4989","journalAbbreviation":"Polit. Anal.","language":"en","page":"1-14","source":"DOI.org (Crossref)","title":"Cross-Lingual Classification of Political Texts Using Multilingual Sentence Embeddings","author":[{"family":"Licht","given":"Hauke"}],"issued":{"date-parts":[["2023",1,26]]},"citation-key":"Licht.2023"}}],"schema":"https://github.com/citation-style-language/schema/raw/master/csl-citation.json"} </w:instrText>
      </w:r>
      <w:r w:rsidR="008E6976">
        <w:fldChar w:fldCharType="separate"/>
      </w:r>
      <w:r w:rsidR="008E6976">
        <w:rPr>
          <w:noProof/>
        </w:rPr>
        <w:t>(Laurer et al., 2022; Licht, 2023)</w:t>
      </w:r>
      <w:r w:rsidR="008E6976">
        <w:fldChar w:fldCharType="end"/>
      </w:r>
      <w:r w:rsidR="008E6976">
        <w:t xml:space="preserve">. </w:t>
      </w:r>
    </w:p>
    <w:p w14:paraId="570B27AD" w14:textId="2AC6547A" w:rsidR="00F01A52" w:rsidRPr="00F01A52" w:rsidRDefault="00F01A52" w:rsidP="00F01A52">
      <w:pPr>
        <w:spacing w:line="257" w:lineRule="auto"/>
        <w:ind w:left="10" w:hanging="10"/>
        <w:jc w:val="center"/>
        <w:rPr>
          <w:rFonts w:ascii="Garamond" w:eastAsia="Garamond" w:hAnsi="Garamond" w:cs="Garamond"/>
          <w:b/>
          <w:bCs/>
          <w:lang w:val="en-GB"/>
        </w:rPr>
      </w:pPr>
      <w:r w:rsidRPr="00F01A52">
        <w:rPr>
          <w:rFonts w:ascii="Garamond" w:eastAsia="Garamond" w:hAnsi="Garamond" w:cs="Garamond"/>
          <w:b/>
          <w:bCs/>
          <w:lang w:val="en-GB"/>
        </w:rPr>
        <w:t xml:space="preserve">Table </w:t>
      </w:r>
      <w:r>
        <w:rPr>
          <w:rFonts w:ascii="Garamond" w:eastAsia="Garamond" w:hAnsi="Garamond" w:cs="Garamond"/>
          <w:b/>
          <w:bCs/>
          <w:lang w:val="en-GB"/>
        </w:rPr>
        <w:t>2</w:t>
      </w:r>
      <w:r w:rsidRPr="00F01A52">
        <w:rPr>
          <w:rFonts w:ascii="Garamond" w:eastAsia="Garamond" w:hAnsi="Garamond" w:cs="Garamond"/>
          <w:b/>
          <w:bCs/>
          <w:lang w:val="en-GB"/>
        </w:rPr>
        <w:t xml:space="preserve">: </w:t>
      </w:r>
      <w:r w:rsidRPr="00F01A52">
        <w:rPr>
          <w:rFonts w:ascii="Garamond" w:eastAsia="Garamond" w:hAnsi="Garamond" w:cs="Garamond"/>
          <w:lang w:val="en-GB"/>
        </w:rPr>
        <w:t>Aggregate model evaluation metrics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2688"/>
        <w:gridCol w:w="2591"/>
        <w:gridCol w:w="2471"/>
      </w:tblGrid>
      <w:tr w:rsidR="008E6976" w14:paraId="490FE71E" w14:textId="77777777" w:rsidTr="00F01A52">
        <w:trPr>
          <w:trHeight w:val="525"/>
        </w:trPr>
        <w:tc>
          <w:tcPr>
            <w:tcW w:w="860" w:type="pct"/>
            <w:tcBorders>
              <w:top w:val="single" w:sz="4" w:space="0" w:color="000000" w:themeColor="text1"/>
              <w:bottom w:val="single" w:sz="4" w:space="0" w:color="auto"/>
            </w:tcBorders>
          </w:tcPr>
          <w:p w14:paraId="6CDAD134" w14:textId="3ED43E5A" w:rsidR="008E6976" w:rsidRDefault="008E6976" w:rsidP="009A5D22">
            <w:pPr>
              <w:spacing w:line="257" w:lineRule="auto"/>
              <w:jc w:val="center"/>
            </w:pPr>
          </w:p>
        </w:tc>
        <w:tc>
          <w:tcPr>
            <w:tcW w:w="1436" w:type="pct"/>
            <w:tcBorders>
              <w:top w:val="single" w:sz="4" w:space="0" w:color="000000" w:themeColor="text1"/>
              <w:bottom w:val="single" w:sz="4" w:space="0" w:color="auto"/>
            </w:tcBorders>
          </w:tcPr>
          <w:p w14:paraId="2198AADF" w14:textId="3070919F" w:rsidR="008E6976" w:rsidRDefault="008E6976" w:rsidP="009A5D22">
            <w:pPr>
              <w:spacing w:line="257" w:lineRule="auto"/>
              <w:jc w:val="center"/>
            </w:pPr>
            <w:r>
              <w:rPr>
                <w:rFonts w:ascii="Garamond" w:eastAsia="Garamond" w:hAnsi="Garamond" w:cs="Garamond"/>
                <w:b/>
                <w:bCs/>
                <w:lang w:val="en-GB"/>
              </w:rPr>
              <w:t>F1 Macro</w:t>
            </w:r>
          </w:p>
        </w:tc>
        <w:tc>
          <w:tcPr>
            <w:tcW w:w="1384" w:type="pct"/>
            <w:tcBorders>
              <w:top w:val="single" w:sz="4" w:space="0" w:color="000000" w:themeColor="text1"/>
              <w:bottom w:val="single" w:sz="4" w:space="0" w:color="auto"/>
            </w:tcBorders>
          </w:tcPr>
          <w:p w14:paraId="78DFE953" w14:textId="0AFEF5F2" w:rsidR="008E6976" w:rsidRDefault="008E6976" w:rsidP="009A5D22">
            <w:pPr>
              <w:spacing w:line="257" w:lineRule="auto"/>
              <w:jc w:val="center"/>
            </w:pPr>
            <w:r>
              <w:rPr>
                <w:rFonts w:ascii="Garamond" w:eastAsia="Garamond" w:hAnsi="Garamond" w:cs="Garamond"/>
                <w:b/>
                <w:bCs/>
                <w:lang w:val="en-GB"/>
              </w:rPr>
              <w:t>Balanced Accuracy</w:t>
            </w:r>
          </w:p>
        </w:tc>
        <w:tc>
          <w:tcPr>
            <w:tcW w:w="1320" w:type="pct"/>
            <w:tcBorders>
              <w:top w:val="single" w:sz="4" w:space="0" w:color="000000" w:themeColor="text1"/>
              <w:bottom w:val="single" w:sz="4" w:space="0" w:color="auto"/>
            </w:tcBorders>
          </w:tcPr>
          <w:p w14:paraId="41071DD2" w14:textId="26E6D2D1" w:rsidR="008E6976" w:rsidRPr="008E6976" w:rsidRDefault="008E6976" w:rsidP="009A5D22">
            <w:pPr>
              <w:spacing w:line="257" w:lineRule="auto"/>
              <w:jc w:val="center"/>
              <w:rPr>
                <w:lang w:val="de-DE"/>
              </w:rPr>
            </w:pPr>
            <w:r>
              <w:rPr>
                <w:rFonts w:ascii="Garamond" w:eastAsia="Garamond" w:hAnsi="Garamond" w:cs="Garamond"/>
                <w:b/>
                <w:bCs/>
                <w:lang w:val="en-GB"/>
              </w:rPr>
              <w:t>F1 Micro</w:t>
            </w:r>
          </w:p>
        </w:tc>
      </w:tr>
      <w:tr w:rsidR="008E6976" w:rsidRPr="00F01A52" w14:paraId="3AC337C1" w14:textId="77777777" w:rsidTr="00F01A52">
        <w:trPr>
          <w:trHeight w:val="1095"/>
        </w:trPr>
        <w:tc>
          <w:tcPr>
            <w:tcW w:w="860" w:type="pct"/>
            <w:tcBorders>
              <w:top w:val="single" w:sz="4" w:space="0" w:color="auto"/>
            </w:tcBorders>
          </w:tcPr>
          <w:p w14:paraId="02223DF9" w14:textId="070DFDF4" w:rsidR="008E6976" w:rsidRDefault="008E6976" w:rsidP="009A5D22">
            <w:pPr>
              <w:spacing w:line="257" w:lineRule="auto"/>
              <w:jc w:val="center"/>
            </w:pPr>
          </w:p>
        </w:tc>
        <w:tc>
          <w:tcPr>
            <w:tcW w:w="1436" w:type="pct"/>
            <w:tcBorders>
              <w:top w:val="single" w:sz="4" w:space="0" w:color="auto"/>
            </w:tcBorders>
          </w:tcPr>
          <w:p w14:paraId="76B02549" w14:textId="6BA5709F" w:rsidR="008E6976" w:rsidRPr="00F01A52" w:rsidRDefault="008E6976" w:rsidP="009A5D22">
            <w:pPr>
              <w:spacing w:line="257" w:lineRule="auto"/>
              <w:jc w:val="center"/>
              <w:rPr>
                <w:rFonts w:ascii="Garamond" w:eastAsia="Garamond" w:hAnsi="Garamond" w:cs="Garamond"/>
                <w:lang w:val="en-GB"/>
              </w:rPr>
            </w:pPr>
            <w:r w:rsidRPr="00F01A52">
              <w:rPr>
                <w:rFonts w:ascii="Garamond" w:eastAsia="Garamond" w:hAnsi="Garamond" w:cs="Garamond"/>
                <w:lang w:val="en-GB"/>
              </w:rPr>
              <w:t>0.74</w:t>
            </w:r>
          </w:p>
        </w:tc>
        <w:tc>
          <w:tcPr>
            <w:tcW w:w="1384" w:type="pct"/>
            <w:tcBorders>
              <w:top w:val="single" w:sz="4" w:space="0" w:color="auto"/>
            </w:tcBorders>
          </w:tcPr>
          <w:p w14:paraId="5E936BB0" w14:textId="22C7E28A" w:rsidR="008E6976" w:rsidRPr="00F01A52" w:rsidRDefault="008E6976" w:rsidP="009A5D22">
            <w:pPr>
              <w:spacing w:line="257" w:lineRule="auto"/>
              <w:jc w:val="center"/>
              <w:rPr>
                <w:rFonts w:ascii="Garamond" w:eastAsia="Garamond" w:hAnsi="Garamond" w:cs="Garamond"/>
                <w:lang w:val="en-GB"/>
              </w:rPr>
            </w:pPr>
            <w:r w:rsidRPr="6B1FF94A">
              <w:rPr>
                <w:rFonts w:ascii="Garamond" w:eastAsia="Garamond" w:hAnsi="Garamond" w:cs="Garamond"/>
                <w:lang w:val="en-GB"/>
              </w:rPr>
              <w:t>0.</w:t>
            </w:r>
            <w:r>
              <w:rPr>
                <w:rFonts w:ascii="Garamond" w:eastAsia="Garamond" w:hAnsi="Garamond" w:cs="Garamond"/>
                <w:lang w:val="en-GB"/>
              </w:rPr>
              <w:t>7</w:t>
            </w:r>
            <w:r w:rsidRPr="6B1FF94A">
              <w:rPr>
                <w:rFonts w:ascii="Garamond" w:eastAsia="Garamond" w:hAnsi="Garamond" w:cs="Garamond"/>
                <w:lang w:val="en-GB"/>
              </w:rPr>
              <w:t>6</w:t>
            </w:r>
          </w:p>
        </w:tc>
        <w:tc>
          <w:tcPr>
            <w:tcW w:w="1320" w:type="pct"/>
            <w:tcBorders>
              <w:top w:val="single" w:sz="4" w:space="0" w:color="auto"/>
            </w:tcBorders>
          </w:tcPr>
          <w:p w14:paraId="58972DC1" w14:textId="1C75735C" w:rsidR="008E6976" w:rsidRPr="00F01A52" w:rsidRDefault="008E6976" w:rsidP="009A5D22">
            <w:pPr>
              <w:spacing w:line="257" w:lineRule="auto"/>
              <w:jc w:val="center"/>
              <w:rPr>
                <w:rFonts w:ascii="Garamond" w:eastAsia="Garamond" w:hAnsi="Garamond" w:cs="Garamond"/>
                <w:lang w:val="en-GB"/>
              </w:rPr>
            </w:pPr>
            <w:r w:rsidRPr="00F01A52">
              <w:rPr>
                <w:rFonts w:ascii="Garamond" w:eastAsia="Garamond" w:hAnsi="Garamond" w:cs="Garamond"/>
                <w:lang w:val="en-GB"/>
              </w:rPr>
              <w:t>0.75</w:t>
            </w:r>
          </w:p>
        </w:tc>
      </w:tr>
    </w:tbl>
    <w:p w14:paraId="47643824" w14:textId="39A3292B" w:rsidR="008E6976" w:rsidRPr="008E6976" w:rsidRDefault="008E6976" w:rsidP="008E6976">
      <w:pPr>
        <w:pStyle w:val="Garamond"/>
      </w:pPr>
    </w:p>
    <w:p w14:paraId="44E4EC71" w14:textId="77777777" w:rsidR="00C17116" w:rsidRDefault="00C17116" w:rsidP="00C17116">
      <w:pPr>
        <w:pStyle w:val="BodyText"/>
        <w:rPr>
          <w:lang w:val="en-US"/>
        </w:rPr>
      </w:pPr>
    </w:p>
    <w:p w14:paraId="305BCF03" w14:textId="77777777" w:rsidR="008E6976" w:rsidRPr="00C17116" w:rsidRDefault="008E6976" w:rsidP="00C17116">
      <w:pPr>
        <w:pStyle w:val="BodyText"/>
        <w:rPr>
          <w:lang w:val="en-US"/>
        </w:rPr>
      </w:pPr>
    </w:p>
    <w:p w14:paraId="1891B11A" w14:textId="77777777" w:rsidR="00720865" w:rsidRDefault="00720865" w:rsidP="6B1FF94A">
      <w:pPr>
        <w:pStyle w:val="BodyText"/>
      </w:pPr>
    </w:p>
    <w:p w14:paraId="2DD17603" w14:textId="26676D63" w:rsidR="4A046E21" w:rsidRDefault="4A046E21" w:rsidP="4A046E21">
      <w:pPr>
        <w:pStyle w:val="BodyText"/>
      </w:pPr>
    </w:p>
    <w:p w14:paraId="333F0438" w14:textId="7E58E1C8" w:rsidR="4A046E21" w:rsidRPr="00F278C9" w:rsidRDefault="6B1FF94A" w:rsidP="6B1FF94A">
      <w:pPr>
        <w:spacing w:line="257" w:lineRule="auto"/>
        <w:ind w:left="10" w:hanging="10"/>
        <w:jc w:val="center"/>
        <w:rPr>
          <w:lang w:val="en-US"/>
        </w:rPr>
      </w:pPr>
      <w:r w:rsidRPr="6B1FF94A">
        <w:rPr>
          <w:rFonts w:ascii="Garamond" w:eastAsia="Garamond" w:hAnsi="Garamond" w:cs="Garamond"/>
          <w:b/>
          <w:bCs/>
          <w:lang w:val="en-GB"/>
        </w:rPr>
        <w:t xml:space="preserve">Table </w:t>
      </w:r>
      <w:r w:rsidR="008E6976">
        <w:rPr>
          <w:rFonts w:ascii="Garamond" w:eastAsia="Garamond" w:hAnsi="Garamond" w:cs="Garamond"/>
          <w:b/>
          <w:bCs/>
          <w:lang w:val="en-GB"/>
        </w:rPr>
        <w:t>3</w:t>
      </w:r>
      <w:r w:rsidRPr="6B1FF94A">
        <w:rPr>
          <w:rFonts w:ascii="Garamond" w:eastAsia="Garamond" w:hAnsi="Garamond" w:cs="Garamond"/>
          <w:b/>
          <w:bCs/>
          <w:lang w:val="en-GB"/>
        </w:rPr>
        <w:t xml:space="preserve">: </w:t>
      </w:r>
      <w:r w:rsidR="00F01A52">
        <w:rPr>
          <w:rFonts w:ascii="Garamond" w:eastAsia="Garamond" w:hAnsi="Garamond" w:cs="Garamond"/>
          <w:lang w:val="en-GB"/>
        </w:rPr>
        <w:t>M</w:t>
      </w:r>
      <w:r w:rsidRPr="6B1FF94A">
        <w:rPr>
          <w:rFonts w:ascii="Garamond" w:eastAsia="Garamond" w:hAnsi="Garamond" w:cs="Garamond"/>
          <w:lang w:val="en-GB"/>
        </w:rPr>
        <w:t>odel evaluation metrics</w:t>
      </w:r>
      <w:r w:rsidR="00F01A52">
        <w:rPr>
          <w:rFonts w:ascii="Garamond" w:eastAsia="Garamond" w:hAnsi="Garamond" w:cs="Garamond"/>
          <w:lang w:val="en-GB"/>
        </w:rPr>
        <w:t xml:space="preserve"> by category</w:t>
      </w:r>
    </w:p>
    <w:tbl>
      <w:tblPr>
        <w:tblStyle w:val="TableGrid"/>
        <w:tblW w:w="5000" w:type="pct"/>
        <w:tblLook w:val="06A0" w:firstRow="1" w:lastRow="0" w:firstColumn="1" w:lastColumn="0" w:noHBand="1" w:noVBand="1"/>
      </w:tblPr>
      <w:tblGrid>
        <w:gridCol w:w="1610"/>
        <w:gridCol w:w="2688"/>
        <w:gridCol w:w="2591"/>
        <w:gridCol w:w="2471"/>
      </w:tblGrid>
      <w:tr w:rsidR="00720865" w14:paraId="084B1891" w14:textId="77777777" w:rsidTr="00A32B4F">
        <w:trPr>
          <w:trHeight w:val="525"/>
        </w:trPr>
        <w:tc>
          <w:tcPr>
            <w:tcW w:w="860" w:type="pct"/>
            <w:tcBorders>
              <w:top w:val="single" w:sz="8" w:space="0" w:color="000000" w:themeColor="text1"/>
              <w:left w:val="nil"/>
              <w:bottom w:val="single" w:sz="8" w:space="0" w:color="000000" w:themeColor="text1"/>
              <w:right w:val="nil"/>
            </w:tcBorders>
            <w:tcMar>
              <w:top w:w="41" w:type="dxa"/>
              <w:bottom w:w="41" w:type="dxa"/>
              <w:right w:w="120" w:type="dxa"/>
            </w:tcMar>
            <w:vAlign w:val="center"/>
          </w:tcPr>
          <w:p w14:paraId="681B95AA" w14:textId="477EA3F9" w:rsidR="00720865" w:rsidRDefault="00720865" w:rsidP="6B1FF94A">
            <w:pPr>
              <w:spacing w:line="257" w:lineRule="auto"/>
              <w:jc w:val="center"/>
            </w:pPr>
            <w:r w:rsidRPr="6B1FF94A">
              <w:rPr>
                <w:rFonts w:ascii="Garamond" w:eastAsia="Garamond" w:hAnsi="Garamond" w:cs="Garamond"/>
                <w:b/>
                <w:bCs/>
                <w:lang w:val="en-GB"/>
              </w:rPr>
              <w:t>Category</w:t>
            </w:r>
          </w:p>
        </w:tc>
        <w:tc>
          <w:tcPr>
            <w:tcW w:w="1436" w:type="pct"/>
            <w:tcBorders>
              <w:top w:val="single" w:sz="8" w:space="0" w:color="000000" w:themeColor="text1"/>
              <w:left w:val="nil"/>
              <w:bottom w:val="single" w:sz="8" w:space="0" w:color="000000" w:themeColor="text1"/>
              <w:right w:val="nil"/>
            </w:tcBorders>
            <w:tcMar>
              <w:top w:w="41" w:type="dxa"/>
              <w:bottom w:w="41" w:type="dxa"/>
              <w:right w:w="120" w:type="dxa"/>
            </w:tcMar>
            <w:vAlign w:val="center"/>
          </w:tcPr>
          <w:p w14:paraId="787454B6" w14:textId="1D5F8575" w:rsidR="00720865" w:rsidRDefault="00720865" w:rsidP="6B1FF94A">
            <w:pPr>
              <w:spacing w:line="257" w:lineRule="auto"/>
              <w:jc w:val="center"/>
            </w:pPr>
            <w:r w:rsidRPr="6B1FF94A">
              <w:rPr>
                <w:rFonts w:ascii="Garamond" w:eastAsia="Garamond" w:hAnsi="Garamond" w:cs="Garamond"/>
                <w:b/>
                <w:bCs/>
                <w:lang w:val="en-GB"/>
              </w:rPr>
              <w:t>Precision</w:t>
            </w:r>
          </w:p>
        </w:tc>
        <w:tc>
          <w:tcPr>
            <w:tcW w:w="1384" w:type="pct"/>
            <w:tcBorders>
              <w:top w:val="single" w:sz="8" w:space="0" w:color="000000" w:themeColor="text1"/>
              <w:left w:val="nil"/>
              <w:bottom w:val="single" w:sz="8" w:space="0" w:color="000000" w:themeColor="text1"/>
              <w:right w:val="nil"/>
            </w:tcBorders>
            <w:tcMar>
              <w:top w:w="41" w:type="dxa"/>
              <w:bottom w:w="41" w:type="dxa"/>
              <w:right w:w="120" w:type="dxa"/>
            </w:tcMar>
            <w:vAlign w:val="center"/>
          </w:tcPr>
          <w:p w14:paraId="0F61B02C" w14:textId="22E2B09F" w:rsidR="00720865" w:rsidRDefault="00720865" w:rsidP="6B1FF94A">
            <w:pPr>
              <w:spacing w:line="257" w:lineRule="auto"/>
              <w:jc w:val="center"/>
            </w:pPr>
            <w:r w:rsidRPr="6B1FF94A">
              <w:rPr>
                <w:rFonts w:ascii="Garamond" w:eastAsia="Garamond" w:hAnsi="Garamond" w:cs="Garamond"/>
                <w:b/>
                <w:bCs/>
                <w:lang w:val="en-GB"/>
              </w:rPr>
              <w:t>Recall</w:t>
            </w:r>
          </w:p>
        </w:tc>
        <w:tc>
          <w:tcPr>
            <w:tcW w:w="1321" w:type="pct"/>
            <w:tcBorders>
              <w:top w:val="single" w:sz="8" w:space="0" w:color="000000" w:themeColor="text1"/>
              <w:left w:val="nil"/>
              <w:bottom w:val="single" w:sz="8" w:space="0" w:color="000000" w:themeColor="text1"/>
              <w:right w:val="nil"/>
            </w:tcBorders>
            <w:tcMar>
              <w:top w:w="41" w:type="dxa"/>
              <w:bottom w:w="41" w:type="dxa"/>
              <w:right w:w="120" w:type="dxa"/>
            </w:tcMar>
            <w:vAlign w:val="center"/>
          </w:tcPr>
          <w:p w14:paraId="7AFE901B" w14:textId="17A4E9F5" w:rsidR="00720865" w:rsidRDefault="00720865" w:rsidP="6B1FF94A">
            <w:pPr>
              <w:spacing w:line="257" w:lineRule="auto"/>
              <w:jc w:val="center"/>
            </w:pPr>
            <w:r w:rsidRPr="6B1FF94A">
              <w:rPr>
                <w:rFonts w:ascii="Garamond" w:eastAsia="Garamond" w:hAnsi="Garamond" w:cs="Garamond"/>
                <w:b/>
                <w:bCs/>
                <w:lang w:val="en-GB"/>
              </w:rPr>
              <w:t>F1-score</w:t>
            </w:r>
          </w:p>
        </w:tc>
      </w:tr>
      <w:tr w:rsidR="00720865" w14:paraId="54012F4E" w14:textId="77777777" w:rsidTr="00A32B4F">
        <w:trPr>
          <w:trHeight w:val="1095"/>
        </w:trPr>
        <w:tc>
          <w:tcPr>
            <w:tcW w:w="860" w:type="pct"/>
            <w:tcBorders>
              <w:top w:val="single" w:sz="8" w:space="0" w:color="000000" w:themeColor="text1"/>
              <w:left w:val="nil"/>
              <w:bottom w:val="none" w:sz="4" w:space="0" w:color="000000" w:themeColor="text1"/>
              <w:right w:val="nil"/>
            </w:tcBorders>
            <w:tcMar>
              <w:top w:w="41" w:type="dxa"/>
              <w:bottom w:w="41" w:type="dxa"/>
              <w:right w:w="120" w:type="dxa"/>
            </w:tcMar>
            <w:vAlign w:val="center"/>
          </w:tcPr>
          <w:p w14:paraId="0DC28B31" w14:textId="2FEE9E68" w:rsidR="00720865" w:rsidRDefault="00720865" w:rsidP="6B1FF94A">
            <w:pPr>
              <w:spacing w:line="257" w:lineRule="auto"/>
              <w:jc w:val="center"/>
            </w:pPr>
            <w:r w:rsidRPr="6B1FF94A">
              <w:rPr>
                <w:rFonts w:ascii="Garamond" w:eastAsia="Garamond" w:hAnsi="Garamond" w:cs="Garamond"/>
                <w:lang w:val="en-GB"/>
              </w:rPr>
              <w:t>Market-creation</w:t>
            </w:r>
          </w:p>
        </w:tc>
        <w:tc>
          <w:tcPr>
            <w:tcW w:w="1436" w:type="pct"/>
            <w:tcBorders>
              <w:top w:val="single" w:sz="8" w:space="0" w:color="000000" w:themeColor="text1"/>
              <w:left w:val="nil"/>
              <w:bottom w:val="none" w:sz="4" w:space="0" w:color="000000" w:themeColor="text1"/>
              <w:right w:val="nil"/>
            </w:tcBorders>
            <w:tcMar>
              <w:top w:w="41" w:type="dxa"/>
              <w:bottom w:w="41" w:type="dxa"/>
              <w:right w:w="120" w:type="dxa"/>
            </w:tcMar>
            <w:vAlign w:val="center"/>
          </w:tcPr>
          <w:p w14:paraId="3449880E" w14:textId="32DABE2D" w:rsidR="00720865" w:rsidRDefault="00720865" w:rsidP="6B1FF94A">
            <w:pPr>
              <w:spacing w:line="257" w:lineRule="auto"/>
              <w:jc w:val="center"/>
            </w:pPr>
            <w:r w:rsidRPr="6B1FF94A">
              <w:rPr>
                <w:rFonts w:ascii="Garamond" w:eastAsia="Garamond" w:hAnsi="Garamond" w:cs="Garamond"/>
                <w:lang w:val="en-GB"/>
              </w:rPr>
              <w:t>0.76</w:t>
            </w:r>
          </w:p>
        </w:tc>
        <w:tc>
          <w:tcPr>
            <w:tcW w:w="1384" w:type="pct"/>
            <w:tcBorders>
              <w:top w:val="single" w:sz="8" w:space="0" w:color="000000" w:themeColor="text1"/>
              <w:left w:val="nil"/>
              <w:bottom w:val="none" w:sz="4" w:space="0" w:color="000000" w:themeColor="text1"/>
              <w:right w:val="nil"/>
            </w:tcBorders>
            <w:tcMar>
              <w:top w:w="41" w:type="dxa"/>
              <w:bottom w:w="41" w:type="dxa"/>
              <w:right w:w="120" w:type="dxa"/>
            </w:tcMar>
            <w:vAlign w:val="center"/>
          </w:tcPr>
          <w:p w14:paraId="061BA449" w14:textId="78FD19BE" w:rsidR="00720865" w:rsidRDefault="00720865" w:rsidP="6B1FF94A">
            <w:pPr>
              <w:spacing w:line="257" w:lineRule="auto"/>
              <w:jc w:val="center"/>
            </w:pPr>
            <w:r w:rsidRPr="6B1FF94A">
              <w:rPr>
                <w:rFonts w:ascii="Garamond" w:eastAsia="Garamond" w:hAnsi="Garamond" w:cs="Garamond"/>
                <w:lang w:val="en-GB"/>
              </w:rPr>
              <w:t>0.68</w:t>
            </w:r>
          </w:p>
        </w:tc>
        <w:tc>
          <w:tcPr>
            <w:tcW w:w="1321" w:type="pct"/>
            <w:tcBorders>
              <w:top w:val="single" w:sz="8" w:space="0" w:color="000000" w:themeColor="text1"/>
              <w:left w:val="nil"/>
              <w:bottom w:val="none" w:sz="4" w:space="0" w:color="000000" w:themeColor="text1"/>
              <w:right w:val="nil"/>
            </w:tcBorders>
            <w:tcMar>
              <w:top w:w="41" w:type="dxa"/>
              <w:bottom w:w="41" w:type="dxa"/>
              <w:right w:w="120" w:type="dxa"/>
            </w:tcMar>
            <w:vAlign w:val="center"/>
          </w:tcPr>
          <w:p w14:paraId="439AB2E8" w14:textId="05532B12" w:rsidR="00720865" w:rsidRDefault="00720865" w:rsidP="6B1FF94A">
            <w:pPr>
              <w:spacing w:line="257" w:lineRule="auto"/>
              <w:jc w:val="center"/>
            </w:pPr>
            <w:r w:rsidRPr="6B1FF94A">
              <w:rPr>
                <w:rFonts w:ascii="Garamond" w:eastAsia="Garamond" w:hAnsi="Garamond" w:cs="Garamond"/>
                <w:lang w:val="en-GB"/>
              </w:rPr>
              <w:t>0.7</w:t>
            </w:r>
            <w:r w:rsidR="00F01A52">
              <w:rPr>
                <w:rFonts w:ascii="Garamond" w:eastAsia="Garamond" w:hAnsi="Garamond" w:cs="Garamond"/>
                <w:lang w:val="en-GB"/>
              </w:rPr>
              <w:t>2</w:t>
            </w:r>
          </w:p>
        </w:tc>
      </w:tr>
      <w:tr w:rsidR="00720865" w14:paraId="7245455C" w14:textId="77777777" w:rsidTr="00A32B4F">
        <w:trPr>
          <w:trHeight w:val="750"/>
        </w:trPr>
        <w:tc>
          <w:tcPr>
            <w:tcW w:w="860" w:type="pct"/>
            <w:tcBorders>
              <w:top w:val="none" w:sz="4" w:space="0" w:color="000000" w:themeColor="text1"/>
              <w:left w:val="none" w:sz="4" w:space="0" w:color="000000" w:themeColor="text1"/>
              <w:bottom w:val="nil"/>
              <w:right w:val="none" w:sz="4" w:space="0" w:color="000000" w:themeColor="text1"/>
            </w:tcBorders>
            <w:tcMar>
              <w:top w:w="41" w:type="dxa"/>
              <w:bottom w:w="41" w:type="dxa"/>
              <w:right w:w="120" w:type="dxa"/>
            </w:tcMar>
            <w:vAlign w:val="center"/>
          </w:tcPr>
          <w:p w14:paraId="60E804D3" w14:textId="5133F149" w:rsidR="00720865" w:rsidRDefault="00720865" w:rsidP="6B1FF94A">
            <w:pPr>
              <w:spacing w:line="257" w:lineRule="auto"/>
              <w:jc w:val="center"/>
            </w:pPr>
            <w:r w:rsidRPr="6B1FF94A">
              <w:rPr>
                <w:rFonts w:ascii="Garamond" w:eastAsia="Garamond" w:hAnsi="Garamond" w:cs="Garamond"/>
                <w:lang w:val="en-GB"/>
              </w:rPr>
              <w:lastRenderedPageBreak/>
              <w:t>Market-direction</w:t>
            </w:r>
          </w:p>
        </w:tc>
        <w:tc>
          <w:tcPr>
            <w:tcW w:w="1436" w:type="pct"/>
            <w:tcBorders>
              <w:top w:val="none" w:sz="4" w:space="0" w:color="000000" w:themeColor="text1"/>
              <w:left w:val="none" w:sz="4" w:space="0" w:color="000000" w:themeColor="text1"/>
              <w:bottom w:val="nil"/>
              <w:right w:val="none" w:sz="4" w:space="0" w:color="000000" w:themeColor="text1"/>
            </w:tcBorders>
            <w:tcMar>
              <w:top w:w="41" w:type="dxa"/>
              <w:bottom w:w="41" w:type="dxa"/>
              <w:right w:w="120" w:type="dxa"/>
            </w:tcMar>
            <w:vAlign w:val="center"/>
          </w:tcPr>
          <w:p w14:paraId="46FA5D1A" w14:textId="78849307" w:rsidR="00720865" w:rsidRDefault="00F01A52" w:rsidP="6B1FF94A">
            <w:pPr>
              <w:spacing w:line="257" w:lineRule="auto"/>
              <w:jc w:val="center"/>
            </w:pPr>
            <w:r>
              <w:rPr>
                <w:rFonts w:ascii="Garamond" w:eastAsia="Garamond" w:hAnsi="Garamond" w:cs="Garamond"/>
                <w:lang w:val="en-GB"/>
              </w:rPr>
              <w:t>0.</w:t>
            </w:r>
            <w:r w:rsidR="00720865" w:rsidRPr="6B1FF94A">
              <w:rPr>
                <w:rFonts w:ascii="Garamond" w:eastAsia="Garamond" w:hAnsi="Garamond" w:cs="Garamond"/>
                <w:lang w:val="en-GB"/>
              </w:rPr>
              <w:t>6</w:t>
            </w:r>
            <w:r>
              <w:rPr>
                <w:rFonts w:ascii="Garamond" w:eastAsia="Garamond" w:hAnsi="Garamond" w:cs="Garamond"/>
                <w:lang w:val="en-GB"/>
              </w:rPr>
              <w:t>6</w:t>
            </w:r>
          </w:p>
        </w:tc>
        <w:tc>
          <w:tcPr>
            <w:tcW w:w="1384" w:type="pct"/>
            <w:tcBorders>
              <w:top w:val="none" w:sz="4" w:space="0" w:color="000000" w:themeColor="text1"/>
              <w:left w:val="none" w:sz="4" w:space="0" w:color="000000" w:themeColor="text1"/>
              <w:bottom w:val="nil"/>
              <w:right w:val="none" w:sz="4" w:space="0" w:color="000000" w:themeColor="text1"/>
            </w:tcBorders>
            <w:tcMar>
              <w:top w:w="41" w:type="dxa"/>
              <w:bottom w:w="41" w:type="dxa"/>
              <w:right w:w="120" w:type="dxa"/>
            </w:tcMar>
            <w:vAlign w:val="center"/>
          </w:tcPr>
          <w:p w14:paraId="4047C69C" w14:textId="3E8EC264" w:rsidR="00720865" w:rsidRDefault="00720865" w:rsidP="6B1FF94A">
            <w:pPr>
              <w:spacing w:line="257" w:lineRule="auto"/>
              <w:jc w:val="center"/>
            </w:pPr>
            <w:r w:rsidRPr="6B1FF94A">
              <w:rPr>
                <w:rFonts w:ascii="Garamond" w:eastAsia="Garamond" w:hAnsi="Garamond" w:cs="Garamond"/>
                <w:lang w:val="en-GB"/>
              </w:rPr>
              <w:t>0.79</w:t>
            </w:r>
          </w:p>
        </w:tc>
        <w:tc>
          <w:tcPr>
            <w:tcW w:w="1321" w:type="pct"/>
            <w:tcBorders>
              <w:top w:val="none" w:sz="4" w:space="0" w:color="000000" w:themeColor="text1"/>
              <w:left w:val="none" w:sz="4" w:space="0" w:color="000000" w:themeColor="text1"/>
              <w:bottom w:val="nil"/>
              <w:right w:val="none" w:sz="4" w:space="0" w:color="000000" w:themeColor="text1"/>
            </w:tcBorders>
            <w:tcMar>
              <w:top w:w="41" w:type="dxa"/>
              <w:bottom w:w="41" w:type="dxa"/>
              <w:right w:w="120" w:type="dxa"/>
            </w:tcMar>
            <w:vAlign w:val="center"/>
          </w:tcPr>
          <w:p w14:paraId="7B828A79" w14:textId="33505DD5" w:rsidR="00720865" w:rsidRDefault="00720865" w:rsidP="6B1FF94A">
            <w:pPr>
              <w:spacing w:line="257" w:lineRule="auto"/>
              <w:jc w:val="center"/>
            </w:pPr>
            <w:r w:rsidRPr="6B1FF94A">
              <w:rPr>
                <w:rFonts w:ascii="Garamond" w:eastAsia="Garamond" w:hAnsi="Garamond" w:cs="Garamond"/>
                <w:lang w:val="en-GB"/>
              </w:rPr>
              <w:t>0.72</w:t>
            </w:r>
          </w:p>
        </w:tc>
      </w:tr>
      <w:tr w:rsidR="00720865" w14:paraId="324CB328" w14:textId="77777777" w:rsidTr="00A32B4F">
        <w:trPr>
          <w:trHeight w:val="1365"/>
        </w:trPr>
        <w:tc>
          <w:tcPr>
            <w:tcW w:w="860" w:type="pct"/>
            <w:tcBorders>
              <w:top w:val="nil"/>
              <w:left w:val="nil"/>
              <w:bottom w:val="single" w:sz="4" w:space="0" w:color="auto"/>
              <w:right w:val="nil"/>
            </w:tcBorders>
            <w:tcMar>
              <w:top w:w="41" w:type="dxa"/>
              <w:bottom w:w="41" w:type="dxa"/>
              <w:right w:w="120" w:type="dxa"/>
            </w:tcMar>
            <w:vAlign w:val="center"/>
          </w:tcPr>
          <w:p w14:paraId="6BB442EB" w14:textId="7FBF8999" w:rsidR="00720865" w:rsidRDefault="00720865" w:rsidP="6B1FF94A">
            <w:pPr>
              <w:spacing w:line="257" w:lineRule="auto"/>
              <w:jc w:val="center"/>
            </w:pPr>
            <w:r w:rsidRPr="6B1FF94A">
              <w:rPr>
                <w:rFonts w:ascii="Garamond" w:eastAsia="Garamond" w:hAnsi="Garamond" w:cs="Garamond"/>
                <w:lang w:val="en-GB"/>
              </w:rPr>
              <w:t>Other</w:t>
            </w:r>
          </w:p>
        </w:tc>
        <w:tc>
          <w:tcPr>
            <w:tcW w:w="1436" w:type="pct"/>
            <w:tcBorders>
              <w:top w:val="nil"/>
              <w:left w:val="nil"/>
              <w:bottom w:val="single" w:sz="4" w:space="0" w:color="auto"/>
              <w:right w:val="nil"/>
            </w:tcBorders>
            <w:tcMar>
              <w:top w:w="41" w:type="dxa"/>
              <w:bottom w:w="41" w:type="dxa"/>
              <w:right w:w="120" w:type="dxa"/>
            </w:tcMar>
            <w:vAlign w:val="center"/>
          </w:tcPr>
          <w:p w14:paraId="21909A59" w14:textId="5F2B872F" w:rsidR="00720865" w:rsidRDefault="00720865" w:rsidP="6B1FF94A">
            <w:pPr>
              <w:spacing w:line="257" w:lineRule="auto"/>
              <w:jc w:val="center"/>
            </w:pPr>
            <w:r w:rsidRPr="6B1FF94A">
              <w:rPr>
                <w:rFonts w:ascii="Garamond" w:eastAsia="Garamond" w:hAnsi="Garamond" w:cs="Garamond"/>
                <w:lang w:val="en-GB"/>
              </w:rPr>
              <w:t>0.7</w:t>
            </w:r>
            <w:r w:rsidR="00F01A52">
              <w:rPr>
                <w:rFonts w:ascii="Garamond" w:eastAsia="Garamond" w:hAnsi="Garamond" w:cs="Garamond"/>
                <w:lang w:val="en-GB"/>
              </w:rPr>
              <w:t>9</w:t>
            </w:r>
          </w:p>
        </w:tc>
        <w:tc>
          <w:tcPr>
            <w:tcW w:w="1384" w:type="pct"/>
            <w:tcBorders>
              <w:top w:val="nil"/>
              <w:left w:val="nil"/>
              <w:bottom w:val="single" w:sz="4" w:space="0" w:color="auto"/>
              <w:right w:val="nil"/>
            </w:tcBorders>
            <w:tcMar>
              <w:top w:w="41" w:type="dxa"/>
              <w:bottom w:w="41" w:type="dxa"/>
              <w:right w:w="120" w:type="dxa"/>
            </w:tcMar>
            <w:vAlign w:val="center"/>
          </w:tcPr>
          <w:p w14:paraId="4DE0BD6D" w14:textId="70A2A31D" w:rsidR="00720865" w:rsidRDefault="00720865" w:rsidP="6B1FF94A">
            <w:pPr>
              <w:spacing w:line="257" w:lineRule="auto"/>
              <w:jc w:val="center"/>
            </w:pPr>
            <w:r w:rsidRPr="6B1FF94A">
              <w:rPr>
                <w:rFonts w:ascii="Garamond" w:eastAsia="Garamond" w:hAnsi="Garamond" w:cs="Garamond"/>
                <w:lang w:val="en-GB"/>
              </w:rPr>
              <w:t>0.</w:t>
            </w:r>
            <w:r w:rsidR="00F01A52">
              <w:rPr>
                <w:rFonts w:ascii="Garamond" w:eastAsia="Garamond" w:hAnsi="Garamond" w:cs="Garamond"/>
                <w:lang w:val="en-GB"/>
              </w:rPr>
              <w:t>80</w:t>
            </w:r>
          </w:p>
        </w:tc>
        <w:tc>
          <w:tcPr>
            <w:tcW w:w="1321" w:type="pct"/>
            <w:tcBorders>
              <w:top w:val="nil"/>
              <w:left w:val="nil"/>
              <w:bottom w:val="single" w:sz="4" w:space="0" w:color="auto"/>
              <w:right w:val="nil"/>
            </w:tcBorders>
            <w:tcMar>
              <w:top w:w="41" w:type="dxa"/>
              <w:bottom w:w="41" w:type="dxa"/>
              <w:right w:w="120" w:type="dxa"/>
            </w:tcMar>
            <w:vAlign w:val="center"/>
          </w:tcPr>
          <w:p w14:paraId="1F80DE44" w14:textId="05C4417C" w:rsidR="00720865" w:rsidRDefault="00720865" w:rsidP="6B1FF94A">
            <w:pPr>
              <w:spacing w:line="257" w:lineRule="auto"/>
              <w:jc w:val="center"/>
            </w:pPr>
            <w:r w:rsidRPr="6B1FF94A">
              <w:rPr>
                <w:rFonts w:ascii="Garamond" w:eastAsia="Garamond" w:hAnsi="Garamond" w:cs="Garamond"/>
                <w:lang w:val="en-GB"/>
              </w:rPr>
              <w:t>0.79</w:t>
            </w:r>
          </w:p>
        </w:tc>
      </w:tr>
    </w:tbl>
    <w:p w14:paraId="5CB287BA" w14:textId="1FCD8AC7" w:rsidR="4A046E21" w:rsidRDefault="4A046E21" w:rsidP="4A046E21">
      <w:pPr>
        <w:pStyle w:val="BodyText"/>
      </w:pPr>
    </w:p>
    <w:p w14:paraId="2FE5DEBA" w14:textId="4B991538" w:rsidR="4A046E21" w:rsidRDefault="6B1FF94A" w:rsidP="4A046E21">
      <w:pPr>
        <w:pStyle w:val="BodyText"/>
        <w:numPr>
          <w:ilvl w:val="0"/>
          <w:numId w:val="1"/>
        </w:numPr>
        <w:rPr>
          <w:rFonts w:ascii="Garamond" w:eastAsia="Garamond" w:hAnsi="Garamond" w:cs="Garamond"/>
          <w:b/>
          <w:bCs/>
        </w:rPr>
      </w:pPr>
      <w:r w:rsidRPr="6B1FF94A">
        <w:rPr>
          <w:rFonts w:ascii="Garamond" w:eastAsia="Garamond" w:hAnsi="Garamond" w:cs="Garamond"/>
          <w:b/>
          <w:bCs/>
        </w:rPr>
        <w:t>Coding scheme</w:t>
      </w:r>
    </w:p>
    <w:p w14:paraId="25B01845" w14:textId="56DC4169" w:rsidR="00F01A52" w:rsidRDefault="008E6976" w:rsidP="00F01A52">
      <w:pPr>
        <w:pStyle w:val="Garamond"/>
        <w:rPr>
          <w:rFonts w:eastAsia="Garamond" w:cs="Garamond"/>
        </w:rPr>
      </w:pPr>
      <w:r>
        <w:t xml:space="preserve">Our coding scheme contains three categories: market-creation, market-direction, and other. The basic definitions for these categories can be found in the above hypothesis. </w:t>
      </w:r>
      <w:r w:rsidR="00F01A52">
        <w:t xml:space="preserve">For some edge cases, we had to disambiguate the coding schemes in several ways: i) documents that contained a </w:t>
      </w:r>
      <w:r w:rsidR="00F01A52" w:rsidRPr="4A046E21">
        <w:rPr>
          <w:rFonts w:eastAsia="Garamond" w:cs="Garamond"/>
        </w:rPr>
        <w:t xml:space="preserve">very factual discussion of programs or state aid clearance </w:t>
      </w:r>
      <w:r w:rsidR="00F01A52">
        <w:rPr>
          <w:rFonts w:eastAsia="Garamond" w:cs="Garamond"/>
        </w:rPr>
        <w:t>but</w:t>
      </w:r>
      <w:r w:rsidR="00F01A52" w:rsidRPr="4A046E21">
        <w:rPr>
          <w:rFonts w:eastAsia="Garamond" w:cs="Garamond"/>
        </w:rPr>
        <w:t xml:space="preserve"> did not convey a broader </w:t>
      </w:r>
      <w:r w:rsidR="00F01A52">
        <w:rPr>
          <w:rFonts w:eastAsia="Garamond" w:cs="Garamond"/>
        </w:rPr>
        <w:t xml:space="preserve">political or </w:t>
      </w:r>
      <w:r w:rsidR="00F01A52" w:rsidRPr="4A046E21">
        <w:rPr>
          <w:rFonts w:eastAsia="Garamond" w:cs="Garamond"/>
        </w:rPr>
        <w:t>normative statement or assessment on market-</w:t>
      </w:r>
      <w:r w:rsidR="00F01A52">
        <w:rPr>
          <w:rFonts w:eastAsia="Garamond" w:cs="Garamond"/>
        </w:rPr>
        <w:t xml:space="preserve">creation or market-direction were coded as ‘other’; ii) statements that talked about </w:t>
      </w:r>
      <w:r w:rsidR="00F01A52" w:rsidRPr="00F01A52">
        <w:rPr>
          <w:rFonts w:eastAsia="Garamond" w:cs="Garamond"/>
        </w:rPr>
        <w:t>market-correcti</w:t>
      </w:r>
      <w:r w:rsidR="00F01A52">
        <w:rPr>
          <w:rFonts w:eastAsia="Garamond" w:cs="Garamond"/>
        </w:rPr>
        <w:t>on, i.e. ‘</w:t>
      </w:r>
      <w:r w:rsidR="00F01A52" w:rsidRPr="00F01A52">
        <w:rPr>
          <w:rFonts w:eastAsia="Garamond" w:cs="Garamond"/>
        </w:rPr>
        <w:t xml:space="preserve">acts by the state that correct market outcomes and constrain market forces on a durable </w:t>
      </w:r>
      <w:proofErr w:type="spellStart"/>
      <w:r w:rsidR="00F01A52" w:rsidRPr="00F01A52">
        <w:rPr>
          <w:rFonts w:eastAsia="Garamond" w:cs="Garamond"/>
        </w:rPr>
        <w:t>basis</w:t>
      </w:r>
      <w:r w:rsidR="00F01A52">
        <w:rPr>
          <w:rFonts w:eastAsia="Garamond" w:cs="Garamond"/>
        </w:rPr>
        <w:t>’</w:t>
      </w:r>
      <w:proofErr w:type="spellEnd"/>
      <w:r w:rsidR="00F01A52">
        <w:rPr>
          <w:rFonts w:eastAsia="Garamond" w:cs="Garamond"/>
        </w:rPr>
        <w:t xml:space="preserve"> </w:t>
      </w:r>
      <w:r w:rsidR="00F01A52">
        <w:rPr>
          <w:rFonts w:eastAsia="Garamond" w:cs="Garamond"/>
        </w:rPr>
        <w:fldChar w:fldCharType="begin"/>
      </w:r>
      <w:r w:rsidR="00F01A52">
        <w:rPr>
          <w:rFonts w:eastAsia="Garamond" w:cs="Garamond"/>
        </w:rPr>
        <w:instrText xml:space="preserve"> ADDIN ZOTERO_ITEM CSL_CITATION {"citationID":"I7eeMRud","properties":{"formattedCitation":"(van Apeldoorn &amp; de Graaff, 2022, p. 309)","plainCitation":"(van Apeldoorn &amp; de Graaff, 2022, p. 309)","noteIndex":0},"citationItems":[{"id":14375,"uris":["http://zotero.org/users/5486133/items/B7E6A7Z6"],"itemData":{"id":14375,"type":"article-journal","abstract":"The Covid-19 crisis has once again brought the role of the state in the capitalist economy to the fore. Rather than viewing this as a ‘return of the state’, this article conceptualises the current dynamic in terms of a reconﬁguration of the roles the state plays, distinguishing between a market-creating, a market-correcting, a market-intervening, and a market-directing role, with each role having both an internal and an external dimension. This conceptual mapping of the diversity of state-capital conﬁgurations is then applied to oﬀer a novel reading of the recent capitalist state trajectories of the US and of China. We conclude that there is – notwithstanding persistent diﬀerences –a relative convergence inasmuch as the still strongly marketdirecting Chinese state also has at the same come to embrace a global market-creating role, while the US is now also showing signs of a stronger emphasis on market-direction.","container-title":"Contemporary Politics","DOI":"10.1080/13569775.2021.2022337","ISSN":"1356-9775, 1469-3631","issue":"3","journalAbbreviation":"Contemporary Politics","language":"en","page":"306-327","source":"DOI.org (Crossref)","title":"The state in global capitalism before and after the Covid-19 crisis","volume":"28","author":[{"family":"Apeldoorn","given":"Bastiaan","non-dropping-particle":"van"},{"family":"Graaff","given":"Naná","non-dropping-particle":"de"}],"issued":{"date-parts":[["2022",5,27]]},"citation-key":"vanApeldoorn.2022"},"locator":"309"}],"schema":"https://github.com/citation-style-language/schema/raw/master/csl-citation.json"} </w:instrText>
      </w:r>
      <w:r w:rsidR="00F01A52">
        <w:rPr>
          <w:rFonts w:eastAsia="Garamond" w:cs="Garamond"/>
        </w:rPr>
        <w:fldChar w:fldCharType="separate"/>
      </w:r>
      <w:r w:rsidR="00F01A52">
        <w:rPr>
          <w:rFonts w:eastAsia="Garamond" w:cs="Garamond"/>
          <w:noProof/>
        </w:rPr>
        <w:t>(van Apeldoorn &amp; de Graaff, 2022, p. 309)</w:t>
      </w:r>
      <w:r w:rsidR="00F01A52">
        <w:rPr>
          <w:rFonts w:eastAsia="Garamond" w:cs="Garamond"/>
        </w:rPr>
        <w:fldChar w:fldCharType="end"/>
      </w:r>
      <w:r w:rsidR="00F01A52">
        <w:rPr>
          <w:rFonts w:eastAsia="Garamond" w:cs="Garamond"/>
        </w:rPr>
        <w:t xml:space="preserve">, such as digital content moderation or data protection were also coded as ‘other’ as they are neither about market-creation nor market-direction. Table 4 below gives some examples of market-creating and market-directing statements. </w:t>
      </w:r>
    </w:p>
    <w:p w14:paraId="0284895E" w14:textId="77777777" w:rsidR="00F01A52" w:rsidRDefault="00F01A52" w:rsidP="00F01A52">
      <w:pPr>
        <w:pStyle w:val="BodyText"/>
        <w:rPr>
          <w:lang w:val="en-US"/>
        </w:rPr>
      </w:pPr>
    </w:p>
    <w:p w14:paraId="76F60CCA" w14:textId="77777777" w:rsidR="00F01A52" w:rsidRPr="00F01A52" w:rsidRDefault="00F01A52" w:rsidP="00F01A52">
      <w:pPr>
        <w:pStyle w:val="BodyText"/>
        <w:rPr>
          <w:lang w:val="en-US"/>
        </w:rPr>
      </w:pPr>
    </w:p>
    <w:p w14:paraId="0F4CF1F5" w14:textId="0ED78550" w:rsidR="4A046E21" w:rsidRDefault="4A046E21" w:rsidP="4A046E21">
      <w:pPr>
        <w:spacing w:line="257" w:lineRule="auto"/>
        <w:rPr>
          <w:rFonts w:ascii="Garamond" w:eastAsia="Garamond" w:hAnsi="Garamond" w:cs="Garamond"/>
          <w:sz w:val="28"/>
          <w:szCs w:val="28"/>
          <w:lang w:val="en-GB"/>
        </w:rPr>
      </w:pPr>
      <w:r w:rsidRPr="4A046E21">
        <w:rPr>
          <w:rFonts w:ascii="Garamond" w:eastAsia="Garamond" w:hAnsi="Garamond" w:cs="Garamond"/>
          <w:b/>
          <w:bCs/>
          <w:lang w:val="en-GB"/>
        </w:rPr>
        <w:t xml:space="preserve">Table </w:t>
      </w:r>
      <w:r w:rsidR="00F01A52">
        <w:rPr>
          <w:rFonts w:ascii="Garamond" w:eastAsia="Garamond" w:hAnsi="Garamond" w:cs="Garamond"/>
          <w:b/>
          <w:bCs/>
          <w:lang w:val="en-GB"/>
        </w:rPr>
        <w:t>4</w:t>
      </w:r>
      <w:r w:rsidRPr="4A046E21">
        <w:rPr>
          <w:rFonts w:ascii="Garamond" w:eastAsia="Garamond" w:hAnsi="Garamond" w:cs="Garamond"/>
          <w:b/>
          <w:bCs/>
          <w:lang w:val="en-GB"/>
        </w:rPr>
        <w:t xml:space="preserve">: </w:t>
      </w:r>
      <w:r w:rsidRPr="4A046E21">
        <w:rPr>
          <w:rFonts w:ascii="Garamond" w:eastAsia="Garamond" w:hAnsi="Garamond" w:cs="Garamond"/>
          <w:lang w:val="en-GB"/>
        </w:rPr>
        <w:t>Examples of market-creating (1) and market-directing (2) statements</w:t>
      </w:r>
    </w:p>
    <w:tbl>
      <w:tblPr>
        <w:tblW w:w="5000" w:type="pct"/>
        <w:tblLook w:val="04A0" w:firstRow="1" w:lastRow="0" w:firstColumn="1" w:lastColumn="0" w:noHBand="0" w:noVBand="1"/>
      </w:tblPr>
      <w:tblGrid>
        <w:gridCol w:w="8394"/>
        <w:gridCol w:w="966"/>
      </w:tblGrid>
      <w:tr w:rsidR="4A046E21" w14:paraId="26FAEA51" w14:textId="77777777" w:rsidTr="00A32B4F">
        <w:trPr>
          <w:trHeight w:val="660"/>
        </w:trPr>
        <w:tc>
          <w:tcPr>
            <w:tcW w:w="4484" w:type="pct"/>
            <w:tcBorders>
              <w:top w:val="single" w:sz="8" w:space="0" w:color="000000" w:themeColor="text1"/>
              <w:left w:val="nil"/>
              <w:bottom w:val="single" w:sz="8" w:space="0" w:color="000000" w:themeColor="text1"/>
              <w:right w:val="nil"/>
            </w:tcBorders>
            <w:tcMar>
              <w:left w:w="108" w:type="dxa"/>
              <w:bottom w:w="135" w:type="dxa"/>
              <w:right w:w="115" w:type="dxa"/>
            </w:tcMar>
            <w:vAlign w:val="bottom"/>
          </w:tcPr>
          <w:p w14:paraId="62497071" w14:textId="2D869660" w:rsidR="4A046E21" w:rsidRDefault="4A046E21" w:rsidP="4A046E21">
            <w:pPr>
              <w:spacing w:line="257" w:lineRule="auto"/>
              <w:rPr>
                <w:rFonts w:ascii="Garamond" w:eastAsia="Garamond" w:hAnsi="Garamond" w:cs="Garamond"/>
                <w:b/>
                <w:bCs/>
                <w:sz w:val="28"/>
                <w:szCs w:val="28"/>
                <w:lang w:val="en-GB"/>
              </w:rPr>
            </w:pPr>
            <w:r w:rsidRPr="4A046E21">
              <w:rPr>
                <w:rFonts w:ascii="Garamond" w:eastAsia="Garamond" w:hAnsi="Garamond" w:cs="Garamond"/>
                <w:b/>
                <w:bCs/>
                <w:lang w:val="en-GB"/>
              </w:rPr>
              <w:t>Sentence triplet</w:t>
            </w:r>
          </w:p>
        </w:tc>
        <w:tc>
          <w:tcPr>
            <w:tcW w:w="516" w:type="pct"/>
            <w:tcBorders>
              <w:top w:val="single" w:sz="8" w:space="0" w:color="000000" w:themeColor="text1"/>
              <w:left w:val="nil"/>
              <w:bottom w:val="single" w:sz="8" w:space="0" w:color="000000" w:themeColor="text1"/>
              <w:right w:val="nil"/>
            </w:tcBorders>
            <w:tcMar>
              <w:left w:w="108" w:type="dxa"/>
              <w:bottom w:w="135" w:type="dxa"/>
              <w:right w:w="115" w:type="dxa"/>
            </w:tcMar>
            <w:vAlign w:val="bottom"/>
          </w:tcPr>
          <w:p w14:paraId="26E0AB59" w14:textId="1B57B43B" w:rsidR="4A046E21" w:rsidRDefault="4A046E21" w:rsidP="4A046E21">
            <w:pPr>
              <w:spacing w:line="257" w:lineRule="auto"/>
              <w:rPr>
                <w:rFonts w:ascii="Garamond" w:eastAsia="Garamond" w:hAnsi="Garamond" w:cs="Garamond"/>
                <w:b/>
                <w:bCs/>
                <w:sz w:val="28"/>
                <w:szCs w:val="28"/>
                <w:lang w:val="en-GB"/>
              </w:rPr>
            </w:pPr>
            <w:r w:rsidRPr="4A046E21">
              <w:rPr>
                <w:rFonts w:ascii="Garamond" w:eastAsia="Garamond" w:hAnsi="Garamond" w:cs="Garamond"/>
                <w:b/>
                <w:bCs/>
                <w:lang w:val="en-GB"/>
              </w:rPr>
              <w:t>Code</w:t>
            </w:r>
          </w:p>
        </w:tc>
      </w:tr>
      <w:tr w:rsidR="4A046E21" w14:paraId="18D72FED" w14:textId="77777777" w:rsidTr="00A32B4F">
        <w:trPr>
          <w:trHeight w:val="630"/>
        </w:trPr>
        <w:tc>
          <w:tcPr>
            <w:tcW w:w="4484" w:type="pct"/>
            <w:tcBorders>
              <w:top w:val="single" w:sz="8" w:space="0" w:color="000000" w:themeColor="text1"/>
              <w:left w:val="nil"/>
              <w:bottom w:val="nil"/>
              <w:right w:val="nil"/>
            </w:tcBorders>
            <w:tcMar>
              <w:left w:w="108" w:type="dxa"/>
              <w:bottom w:w="135" w:type="dxa"/>
              <w:right w:w="115" w:type="dxa"/>
            </w:tcMar>
            <w:vAlign w:val="bottom"/>
          </w:tcPr>
          <w:p w14:paraId="4ED335BB" w14:textId="20995DB8"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the major problem in </w:t>
            </w:r>
            <w:proofErr w:type="spellStart"/>
            <w:r w:rsidRPr="4A046E21">
              <w:rPr>
                <w:rFonts w:ascii="Garamond" w:eastAsia="Garamond" w:hAnsi="Garamond" w:cs="Garamond"/>
                <w:color w:val="000000" w:themeColor="text1"/>
                <w:lang w:val="en-US"/>
              </w:rPr>
              <w:t>europe</w:t>
            </w:r>
            <w:proofErr w:type="spellEnd"/>
            <w:r w:rsidRPr="4A046E21">
              <w:rPr>
                <w:rFonts w:ascii="Garamond" w:eastAsia="Garamond" w:hAnsi="Garamond" w:cs="Garamond"/>
                <w:color w:val="000000" w:themeColor="text1"/>
                <w:lang w:val="en-US"/>
              </w:rPr>
              <w:t xml:space="preserve"> is the high price of internet access, which acts as a </w:t>
            </w:r>
            <w:proofErr w:type="spellStart"/>
            <w:r w:rsidRPr="4A046E21">
              <w:rPr>
                <w:rFonts w:ascii="Garamond" w:eastAsia="Garamond" w:hAnsi="Garamond" w:cs="Garamond"/>
                <w:color w:val="000000" w:themeColor="text1"/>
                <w:lang w:val="en-US"/>
              </w:rPr>
              <w:t>barrier._if</w:t>
            </w:r>
            <w:proofErr w:type="spellEnd"/>
            <w:r w:rsidRPr="4A046E21">
              <w:rPr>
                <w:rFonts w:ascii="Garamond" w:eastAsia="Garamond" w:hAnsi="Garamond" w:cs="Garamond"/>
                <w:color w:val="000000" w:themeColor="text1"/>
                <w:lang w:val="en-US"/>
              </w:rPr>
              <w:t xml:space="preserve"> we want more citizens and </w:t>
            </w:r>
            <w:proofErr w:type="spellStart"/>
            <w:r w:rsidRPr="4A046E21">
              <w:rPr>
                <w:rFonts w:ascii="Garamond" w:eastAsia="Garamond" w:hAnsi="Garamond" w:cs="Garamond"/>
                <w:color w:val="000000" w:themeColor="text1"/>
                <w:lang w:val="en-US"/>
              </w:rPr>
              <w:t>smes</w:t>
            </w:r>
            <w:proofErr w:type="spellEnd"/>
            <w:r w:rsidRPr="4A046E21">
              <w:rPr>
                <w:rFonts w:ascii="Garamond" w:eastAsia="Garamond" w:hAnsi="Garamond" w:cs="Garamond"/>
                <w:color w:val="000000" w:themeColor="text1"/>
                <w:lang w:val="en-US"/>
              </w:rPr>
              <w:t xml:space="preserve"> to be on-line, we have to reduce internet </w:t>
            </w:r>
            <w:proofErr w:type="spellStart"/>
            <w:r w:rsidRPr="4A046E21">
              <w:rPr>
                <w:rFonts w:ascii="Garamond" w:eastAsia="Garamond" w:hAnsi="Garamond" w:cs="Garamond"/>
                <w:color w:val="000000" w:themeColor="text1"/>
                <w:lang w:val="en-US"/>
              </w:rPr>
              <w:t>prices._this</w:t>
            </w:r>
            <w:proofErr w:type="spellEnd"/>
            <w:r w:rsidRPr="4A046E21">
              <w:rPr>
                <w:rFonts w:ascii="Garamond" w:eastAsia="Garamond" w:hAnsi="Garamond" w:cs="Garamond"/>
                <w:color w:val="000000" w:themeColor="text1"/>
                <w:lang w:val="en-US"/>
              </w:rPr>
              <w:t xml:space="preserve"> is </w:t>
            </w:r>
            <w:r w:rsidRPr="4A046E21">
              <w:rPr>
                <w:rFonts w:ascii="Garamond" w:eastAsia="Garamond" w:hAnsi="Garamond" w:cs="Garamond"/>
                <w:color w:val="000000" w:themeColor="text1"/>
                <w:lang w:val="en-US"/>
              </w:rPr>
              <w:lastRenderedPageBreak/>
              <w:t xml:space="preserve">something we can only achieve through greater competition in local access markets, by </w:t>
            </w:r>
            <w:proofErr w:type="spellStart"/>
            <w:r w:rsidRPr="4A046E21">
              <w:rPr>
                <w:rFonts w:ascii="Garamond" w:eastAsia="Garamond" w:hAnsi="Garamond" w:cs="Garamond"/>
                <w:color w:val="000000" w:themeColor="text1"/>
                <w:lang w:val="en-US"/>
              </w:rPr>
              <w:t>liberalising</w:t>
            </w:r>
            <w:proofErr w:type="spellEnd"/>
            <w:r w:rsidRPr="4A046E21">
              <w:rPr>
                <w:rFonts w:ascii="Garamond" w:eastAsia="Garamond" w:hAnsi="Garamond" w:cs="Garamond"/>
                <w:color w:val="000000" w:themeColor="text1"/>
                <w:lang w:val="en-US"/>
              </w:rPr>
              <w:t xml:space="preserve"> the "last mile" - or "unbundling of the local loop".</w:t>
            </w:r>
          </w:p>
        </w:tc>
        <w:tc>
          <w:tcPr>
            <w:tcW w:w="516" w:type="pct"/>
            <w:tcBorders>
              <w:top w:val="single" w:sz="8" w:space="0" w:color="000000" w:themeColor="text1"/>
              <w:left w:val="nil"/>
              <w:bottom w:val="nil"/>
              <w:right w:val="nil"/>
            </w:tcBorders>
            <w:tcMar>
              <w:left w:w="108" w:type="dxa"/>
              <w:bottom w:w="135" w:type="dxa"/>
              <w:right w:w="115" w:type="dxa"/>
            </w:tcMar>
            <w:vAlign w:val="center"/>
          </w:tcPr>
          <w:p w14:paraId="0D2872E2" w14:textId="4BFE3C53"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lastRenderedPageBreak/>
              <w:t>1</w:t>
            </w:r>
          </w:p>
        </w:tc>
      </w:tr>
      <w:tr w:rsidR="4A046E21" w14:paraId="464CE7F1" w14:textId="77777777" w:rsidTr="00A32B4F">
        <w:trPr>
          <w:trHeight w:val="540"/>
        </w:trPr>
        <w:tc>
          <w:tcPr>
            <w:tcW w:w="4484" w:type="pct"/>
            <w:tcMar>
              <w:left w:w="108" w:type="dxa"/>
              <w:bottom w:w="135" w:type="dxa"/>
              <w:right w:w="115" w:type="dxa"/>
            </w:tcMar>
            <w:vAlign w:val="bottom"/>
          </w:tcPr>
          <w:p w14:paraId="5EC27052" w14:textId="345EC6B5"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the main principles of the effects-based approach to article 82 are the following: fair and undistorted competition is the best way to make markets work better for the benefit of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business and </w:t>
            </w:r>
            <w:proofErr w:type="spellStart"/>
            <w:r w:rsidRPr="4A046E21">
              <w:rPr>
                <w:rFonts w:ascii="Garamond" w:eastAsia="Garamond" w:hAnsi="Garamond" w:cs="Garamond"/>
                <w:color w:val="000000" w:themeColor="text1"/>
                <w:lang w:val="en-US"/>
              </w:rPr>
              <w:t>consumers._healthy</w:t>
            </w:r>
            <w:proofErr w:type="spellEnd"/>
            <w:r w:rsidRPr="4A046E21">
              <w:rPr>
                <w:rFonts w:ascii="Garamond" w:eastAsia="Garamond" w:hAnsi="Garamond" w:cs="Garamond"/>
                <w:color w:val="000000" w:themeColor="text1"/>
                <w:lang w:val="en-US"/>
              </w:rPr>
              <w:t xml:space="preserve"> competition, including by dominant undertakings, should be encouraged  the focus of the commission's enforcement policy should be on protecting consumers, on protecting the process of competition and not on protecting individual competitors  the commission does not need to establish that the dominant undertaking's conduct actually harmed competition, only that there is convincing evidence that harm is likely  since the focus of the commission's enforcement policy is on conduct that harms the competitive process rather than individual competitors, for pricing conduct the commission examines whether the conduct is likely to prevent competitors that are as efficient as the dominant undertaking from expanding on or entering the market and that can be expected to be most relevant to consumer welfare. since the focus of the commission's enforcement policy is on the likely effects of a dominant undertaking's conduct on consumers, the commission will examine claims put forward by dominant undertakings that their conduct is justified on efficiency grounds – as is already the case under article 81 and for merger </w:t>
            </w:r>
            <w:proofErr w:type="spellStart"/>
            <w:r w:rsidRPr="4A046E21">
              <w:rPr>
                <w:rFonts w:ascii="Garamond" w:eastAsia="Garamond" w:hAnsi="Garamond" w:cs="Garamond"/>
                <w:color w:val="000000" w:themeColor="text1"/>
                <w:lang w:val="en-US"/>
              </w:rPr>
              <w:t>control._the</w:t>
            </w:r>
            <w:proofErr w:type="spellEnd"/>
            <w:r w:rsidRPr="4A046E21">
              <w:rPr>
                <w:rFonts w:ascii="Garamond" w:eastAsia="Garamond" w:hAnsi="Garamond" w:cs="Garamond"/>
                <w:color w:val="000000" w:themeColor="text1"/>
                <w:lang w:val="en-US"/>
              </w:rPr>
              <w:t xml:space="preserve"> commission will fully apply the approach set out above to future cases.</w:t>
            </w:r>
          </w:p>
        </w:tc>
        <w:tc>
          <w:tcPr>
            <w:tcW w:w="516" w:type="pct"/>
            <w:tcMar>
              <w:left w:w="108" w:type="dxa"/>
              <w:bottom w:w="135" w:type="dxa"/>
              <w:right w:w="115" w:type="dxa"/>
            </w:tcMar>
            <w:vAlign w:val="center"/>
          </w:tcPr>
          <w:p w14:paraId="6F288C30" w14:textId="79956926"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1</w:t>
            </w:r>
          </w:p>
        </w:tc>
      </w:tr>
      <w:tr w:rsidR="4A046E21" w14:paraId="17B53F93" w14:textId="77777777" w:rsidTr="00A32B4F">
        <w:trPr>
          <w:trHeight w:val="540"/>
        </w:trPr>
        <w:tc>
          <w:tcPr>
            <w:tcW w:w="4484" w:type="pct"/>
            <w:tcMar>
              <w:left w:w="108" w:type="dxa"/>
              <w:bottom w:w="135" w:type="dxa"/>
              <w:right w:w="115" w:type="dxa"/>
            </w:tcMar>
            <w:vAlign w:val="bottom"/>
          </w:tcPr>
          <w:p w14:paraId="5EB8BB53" w14:textId="58FFA7B5"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the compensation of further losses of dm 66.9 million (35 </w:t>
            </w:r>
            <w:proofErr w:type="spellStart"/>
            <w:r w:rsidRPr="4A046E21">
              <w:rPr>
                <w:rFonts w:ascii="Garamond" w:eastAsia="Garamond" w:hAnsi="Garamond" w:cs="Garamond"/>
                <w:color w:val="000000" w:themeColor="text1"/>
                <w:lang w:val="en-US"/>
              </w:rPr>
              <w:t>mecu</w:t>
            </w:r>
            <w:proofErr w:type="spellEnd"/>
            <w:r w:rsidRPr="4A046E21">
              <w:rPr>
                <w:rFonts w:ascii="Garamond" w:eastAsia="Garamond" w:hAnsi="Garamond" w:cs="Garamond"/>
                <w:color w:val="000000" w:themeColor="text1"/>
                <w:lang w:val="en-US"/>
              </w:rPr>
              <w:t xml:space="preserve">) by the </w:t>
            </w:r>
            <w:proofErr w:type="spellStart"/>
            <w:r w:rsidRPr="4A046E21">
              <w:rPr>
                <w:rFonts w:ascii="Garamond" w:eastAsia="Garamond" w:hAnsi="Garamond" w:cs="Garamond"/>
                <w:color w:val="000000" w:themeColor="text1"/>
                <w:lang w:val="en-US"/>
              </w:rPr>
              <w:t>tha</w:t>
            </w:r>
            <w:proofErr w:type="spellEnd"/>
            <w:r w:rsidRPr="4A046E21">
              <w:rPr>
                <w:rFonts w:ascii="Garamond" w:eastAsia="Garamond" w:hAnsi="Garamond" w:cs="Garamond"/>
                <w:color w:val="000000" w:themeColor="text1"/>
                <w:lang w:val="en-US"/>
              </w:rPr>
              <w:t xml:space="preserve">, which had been proposed by the </w:t>
            </w:r>
            <w:proofErr w:type="spellStart"/>
            <w:r w:rsidRPr="4A046E21">
              <w:rPr>
                <w:rFonts w:ascii="Garamond" w:eastAsia="Garamond" w:hAnsi="Garamond" w:cs="Garamond"/>
                <w:color w:val="000000" w:themeColor="text1"/>
                <w:lang w:val="en-US"/>
              </w:rPr>
              <w:t>german</w:t>
            </w:r>
            <w:proofErr w:type="spellEnd"/>
            <w:r w:rsidRPr="4A046E21">
              <w:rPr>
                <w:rFonts w:ascii="Garamond" w:eastAsia="Garamond" w:hAnsi="Garamond" w:cs="Garamond"/>
                <w:color w:val="000000" w:themeColor="text1"/>
                <w:lang w:val="en-US"/>
              </w:rPr>
              <w:t xml:space="preserve"> government as further restructuring aid, has been declared incompatible and disallowed by the </w:t>
            </w:r>
            <w:proofErr w:type="spellStart"/>
            <w:r w:rsidRPr="4A046E21">
              <w:rPr>
                <w:rFonts w:ascii="Garamond" w:eastAsia="Garamond" w:hAnsi="Garamond" w:cs="Garamond"/>
                <w:color w:val="000000" w:themeColor="text1"/>
                <w:lang w:val="en-US"/>
              </w:rPr>
              <w:t>commission._in</w:t>
            </w:r>
            <w:proofErr w:type="spellEnd"/>
            <w:r w:rsidRPr="4A046E21">
              <w:rPr>
                <w:rFonts w:ascii="Garamond" w:eastAsia="Garamond" w:hAnsi="Garamond" w:cs="Garamond"/>
                <w:color w:val="000000" w:themeColor="text1"/>
                <w:lang w:val="en-US"/>
              </w:rPr>
              <w:t xml:space="preserve"> its view this aid would be disproportionate to the restructuring expenses and would have no regional </w:t>
            </w:r>
            <w:proofErr w:type="spellStart"/>
            <w:r w:rsidRPr="4A046E21">
              <w:rPr>
                <w:rFonts w:ascii="Garamond" w:eastAsia="Garamond" w:hAnsi="Garamond" w:cs="Garamond"/>
                <w:color w:val="000000" w:themeColor="text1"/>
                <w:lang w:val="en-US"/>
              </w:rPr>
              <w:t>justification._such</w:t>
            </w:r>
            <w:proofErr w:type="spellEnd"/>
            <w:r w:rsidRPr="4A046E21">
              <w:rPr>
                <w:rFonts w:ascii="Garamond" w:eastAsia="Garamond" w:hAnsi="Garamond" w:cs="Garamond"/>
                <w:color w:val="000000" w:themeColor="text1"/>
                <w:lang w:val="en-US"/>
              </w:rPr>
              <w:t xml:space="preserve"> aid would therefore have the character of an operating aid which, under the rules of the framework, can under no circumstances be allowed.</w:t>
            </w:r>
          </w:p>
        </w:tc>
        <w:tc>
          <w:tcPr>
            <w:tcW w:w="516" w:type="pct"/>
            <w:tcMar>
              <w:left w:w="108" w:type="dxa"/>
              <w:bottom w:w="135" w:type="dxa"/>
              <w:right w:w="115" w:type="dxa"/>
            </w:tcMar>
            <w:vAlign w:val="center"/>
          </w:tcPr>
          <w:p w14:paraId="06D7C1AB" w14:textId="35A0E8D7"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1</w:t>
            </w:r>
          </w:p>
        </w:tc>
      </w:tr>
      <w:tr w:rsidR="4A046E21" w14:paraId="535C1405" w14:textId="77777777" w:rsidTr="00A32B4F">
        <w:trPr>
          <w:trHeight w:val="540"/>
        </w:trPr>
        <w:tc>
          <w:tcPr>
            <w:tcW w:w="4484" w:type="pct"/>
            <w:tcMar>
              <w:left w:w="108" w:type="dxa"/>
              <w:bottom w:w="135" w:type="dxa"/>
              <w:right w:w="115" w:type="dxa"/>
            </w:tcMar>
            <w:vAlign w:val="bottom"/>
          </w:tcPr>
          <w:p w14:paraId="1001EFE7" w14:textId="28917C56"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the communication identifies two main objectives: removing barriers to the </w:t>
            </w:r>
            <w:proofErr w:type="spellStart"/>
            <w:r w:rsidRPr="4A046E21">
              <w:rPr>
                <w:rFonts w:ascii="Garamond" w:eastAsia="Garamond" w:hAnsi="Garamond" w:cs="Garamond"/>
                <w:color w:val="000000" w:themeColor="text1"/>
                <w:lang w:val="en-US"/>
              </w:rPr>
              <w:t>finalisation</w:t>
            </w:r>
            <w:proofErr w:type="spellEnd"/>
            <w:r w:rsidRPr="4A046E21">
              <w:rPr>
                <w:rFonts w:ascii="Garamond" w:eastAsia="Garamond" w:hAnsi="Garamond" w:cs="Garamond"/>
                <w:color w:val="000000" w:themeColor="text1"/>
                <w:lang w:val="en-US"/>
              </w:rPr>
              <w:t xml:space="preserve"> of individual cross-border transactions and removing any competitive distortions that prevent market forces from delivering a more efficient infrastructure for cross-border </w:t>
            </w:r>
            <w:proofErr w:type="spellStart"/>
            <w:r w:rsidRPr="4A046E21">
              <w:rPr>
                <w:rFonts w:ascii="Garamond" w:eastAsia="Garamond" w:hAnsi="Garamond" w:cs="Garamond"/>
                <w:color w:val="000000" w:themeColor="text1"/>
                <w:lang w:val="en-US"/>
              </w:rPr>
              <w:t>activity._the</w:t>
            </w:r>
            <w:proofErr w:type="spellEnd"/>
            <w:r w:rsidRPr="4A046E21">
              <w:rPr>
                <w:rFonts w:ascii="Garamond" w:eastAsia="Garamond" w:hAnsi="Garamond" w:cs="Garamond"/>
                <w:color w:val="000000" w:themeColor="text1"/>
                <w:lang w:val="en-US"/>
              </w:rPr>
              <w:t xml:space="preserve"> current cross-border arrangements in the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are complex and fragmented, imposing costs, risks and inefficiency on investors, institutions and </w:t>
            </w:r>
            <w:proofErr w:type="spellStart"/>
            <w:r w:rsidRPr="4A046E21">
              <w:rPr>
                <w:rFonts w:ascii="Garamond" w:eastAsia="Garamond" w:hAnsi="Garamond" w:cs="Garamond"/>
                <w:color w:val="000000" w:themeColor="text1"/>
                <w:lang w:val="en-US"/>
              </w:rPr>
              <w:t>issuers._as</w:t>
            </w:r>
            <w:proofErr w:type="spellEnd"/>
            <w:r w:rsidRPr="4A046E21">
              <w:rPr>
                <w:rFonts w:ascii="Garamond" w:eastAsia="Garamond" w:hAnsi="Garamond" w:cs="Garamond"/>
                <w:color w:val="000000" w:themeColor="text1"/>
                <w:lang w:val="en-US"/>
              </w:rPr>
              <w:t xml:space="preserve"> a result the costs of cross-border clearing and settlement in </w:t>
            </w:r>
            <w:proofErr w:type="spellStart"/>
            <w:r w:rsidRPr="4A046E21">
              <w:rPr>
                <w:rFonts w:ascii="Garamond" w:eastAsia="Garamond" w:hAnsi="Garamond" w:cs="Garamond"/>
                <w:color w:val="000000" w:themeColor="text1"/>
                <w:lang w:val="en-US"/>
              </w:rPr>
              <w:t>europe</w:t>
            </w:r>
            <w:proofErr w:type="spellEnd"/>
            <w:r w:rsidRPr="4A046E21">
              <w:rPr>
                <w:rFonts w:ascii="Garamond" w:eastAsia="Garamond" w:hAnsi="Garamond" w:cs="Garamond"/>
                <w:color w:val="000000" w:themeColor="text1"/>
                <w:lang w:val="en-US"/>
              </w:rPr>
              <w:t xml:space="preserve"> are much higher than in the united states.</w:t>
            </w:r>
          </w:p>
        </w:tc>
        <w:tc>
          <w:tcPr>
            <w:tcW w:w="516" w:type="pct"/>
            <w:tcMar>
              <w:left w:w="108" w:type="dxa"/>
              <w:bottom w:w="135" w:type="dxa"/>
              <w:right w:w="115" w:type="dxa"/>
            </w:tcMar>
            <w:vAlign w:val="center"/>
          </w:tcPr>
          <w:p w14:paraId="18774F98" w14:textId="2AB6DCFF"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1</w:t>
            </w:r>
          </w:p>
        </w:tc>
      </w:tr>
      <w:tr w:rsidR="4A046E21" w14:paraId="31DAAAEB" w14:textId="77777777" w:rsidTr="00A32B4F">
        <w:trPr>
          <w:trHeight w:val="600"/>
        </w:trPr>
        <w:tc>
          <w:tcPr>
            <w:tcW w:w="4484" w:type="pct"/>
            <w:tcMar>
              <w:left w:w="108" w:type="dxa"/>
              <w:bottom w:w="135" w:type="dxa"/>
              <w:right w:w="115" w:type="dxa"/>
            </w:tcMar>
            <w:vAlign w:val="bottom"/>
          </w:tcPr>
          <w:p w14:paraId="4A5FBE46" w14:textId="5DEF2E5C"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the commission believes that the union can play an important and complementary role to that of the member </w:t>
            </w:r>
            <w:proofErr w:type="spellStart"/>
            <w:r w:rsidRPr="4A046E21">
              <w:rPr>
                <w:rFonts w:ascii="Garamond" w:eastAsia="Garamond" w:hAnsi="Garamond" w:cs="Garamond"/>
                <w:color w:val="000000" w:themeColor="text1"/>
                <w:lang w:val="en-US"/>
              </w:rPr>
              <w:t>states._together</w:t>
            </w:r>
            <w:proofErr w:type="spellEnd"/>
            <w:r w:rsidRPr="4A046E21">
              <w:rPr>
                <w:rFonts w:ascii="Garamond" w:eastAsia="Garamond" w:hAnsi="Garamond" w:cs="Garamond"/>
                <w:color w:val="000000" w:themeColor="text1"/>
                <w:lang w:val="en-US"/>
              </w:rPr>
              <w:t xml:space="preserve"> with the member states, we seek to create the right environment for competitiveness and help enterprises cope with the changing </w:t>
            </w:r>
            <w:proofErr w:type="spellStart"/>
            <w:r w:rsidRPr="4A046E21">
              <w:rPr>
                <w:rFonts w:ascii="Garamond" w:eastAsia="Garamond" w:hAnsi="Garamond" w:cs="Garamond"/>
                <w:color w:val="000000" w:themeColor="text1"/>
                <w:lang w:val="en-US"/>
              </w:rPr>
              <w:lastRenderedPageBreak/>
              <w:t>environment._the</w:t>
            </w:r>
            <w:proofErr w:type="spellEnd"/>
            <w:r w:rsidRPr="4A046E21">
              <w:rPr>
                <w:rFonts w:ascii="Garamond" w:eastAsia="Garamond" w:hAnsi="Garamond" w:cs="Garamond"/>
                <w:color w:val="000000" w:themeColor="text1"/>
                <w:lang w:val="en-US"/>
              </w:rPr>
              <w:t xml:space="preserve"> third multiannual </w:t>
            </w:r>
            <w:proofErr w:type="spellStart"/>
            <w:r w:rsidRPr="4A046E21">
              <w:rPr>
                <w:rFonts w:ascii="Garamond" w:eastAsia="Garamond" w:hAnsi="Garamond" w:cs="Garamond"/>
                <w:color w:val="000000" w:themeColor="text1"/>
                <w:lang w:val="en-US"/>
              </w:rPr>
              <w:t>programme</w:t>
            </w:r>
            <w:proofErr w:type="spellEnd"/>
            <w:r w:rsidRPr="4A046E21">
              <w:rPr>
                <w:rFonts w:ascii="Garamond" w:eastAsia="Garamond" w:hAnsi="Garamond" w:cs="Garamond"/>
                <w:color w:val="000000" w:themeColor="text1"/>
                <w:lang w:val="en-US"/>
              </w:rPr>
              <w:t xml:space="preserve"> incorporates concrete actions which helps to exploit </w:t>
            </w:r>
            <w:proofErr w:type="spellStart"/>
            <w:r w:rsidRPr="4A046E21">
              <w:rPr>
                <w:rFonts w:ascii="Garamond" w:eastAsia="Garamond" w:hAnsi="Garamond" w:cs="Garamond"/>
                <w:color w:val="000000" w:themeColor="text1"/>
                <w:lang w:val="en-US"/>
              </w:rPr>
              <w:t>smes'</w:t>
            </w:r>
            <w:proofErr w:type="spellEnd"/>
            <w:r w:rsidRPr="4A046E21">
              <w:rPr>
                <w:rFonts w:ascii="Garamond" w:eastAsia="Garamond" w:hAnsi="Garamond" w:cs="Garamond"/>
                <w:color w:val="000000" w:themeColor="text1"/>
                <w:lang w:val="en-US"/>
              </w:rPr>
              <w:t xml:space="preserve"> full potential for job creation.</w:t>
            </w:r>
          </w:p>
        </w:tc>
        <w:tc>
          <w:tcPr>
            <w:tcW w:w="516" w:type="pct"/>
            <w:tcMar>
              <w:left w:w="108" w:type="dxa"/>
              <w:bottom w:w="135" w:type="dxa"/>
              <w:right w:w="115" w:type="dxa"/>
            </w:tcMar>
            <w:vAlign w:val="center"/>
          </w:tcPr>
          <w:p w14:paraId="5AEB3CD7" w14:textId="202A4752"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lastRenderedPageBreak/>
              <w:t>1</w:t>
            </w:r>
          </w:p>
        </w:tc>
      </w:tr>
      <w:tr w:rsidR="4A046E21" w14:paraId="5E61557A" w14:textId="77777777" w:rsidTr="00A32B4F">
        <w:trPr>
          <w:trHeight w:val="600"/>
        </w:trPr>
        <w:tc>
          <w:tcPr>
            <w:tcW w:w="4484" w:type="pct"/>
            <w:tcMar>
              <w:left w:w="108" w:type="dxa"/>
              <w:bottom w:w="135" w:type="dxa"/>
              <w:right w:w="115" w:type="dxa"/>
            </w:tcMar>
            <w:vAlign w:val="bottom"/>
          </w:tcPr>
          <w:p w14:paraId="22672E15" w14:textId="256E9F1A"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under  the community  guidelines,  there is  therefore  no  need for  a  cutback  in </w:t>
            </w:r>
            <w:proofErr w:type="spellStart"/>
            <w:r w:rsidRPr="4A046E21">
              <w:rPr>
                <w:rFonts w:ascii="Garamond" w:eastAsia="Garamond" w:hAnsi="Garamond" w:cs="Garamond"/>
                <w:color w:val="000000" w:themeColor="text1"/>
                <w:lang w:val="en-US"/>
              </w:rPr>
              <w:t>activity._however</w:t>
            </w:r>
            <w:proofErr w:type="spellEnd"/>
            <w:r w:rsidRPr="4A046E21">
              <w:rPr>
                <w:rFonts w:ascii="Garamond" w:eastAsia="Garamond" w:hAnsi="Garamond" w:cs="Garamond"/>
                <w:color w:val="000000" w:themeColor="text1"/>
                <w:lang w:val="en-US"/>
              </w:rPr>
              <w:t xml:space="preserve">,   the  refocusing  of   the  company   on  profitable activities will  result in  a reduction  in its  industrial capacity  and total sales   and  the shrinking  of its market  share   in an  expanding </w:t>
            </w:r>
            <w:proofErr w:type="spellStart"/>
            <w:r w:rsidRPr="4A046E21">
              <w:rPr>
                <w:rFonts w:ascii="Garamond" w:eastAsia="Garamond" w:hAnsi="Garamond" w:cs="Garamond"/>
                <w:color w:val="000000" w:themeColor="text1"/>
                <w:lang w:val="en-US"/>
              </w:rPr>
              <w:t>european</w:t>
            </w:r>
            <w:proofErr w:type="spellEnd"/>
            <w:r w:rsidRPr="4A046E21">
              <w:rPr>
                <w:rFonts w:ascii="Garamond" w:eastAsia="Garamond" w:hAnsi="Garamond" w:cs="Garamond"/>
                <w:color w:val="000000" w:themeColor="text1"/>
                <w:lang w:val="en-US"/>
              </w:rPr>
              <w:t xml:space="preserve"> </w:t>
            </w:r>
            <w:proofErr w:type="spellStart"/>
            <w:r w:rsidRPr="4A046E21">
              <w:rPr>
                <w:rFonts w:ascii="Garamond" w:eastAsia="Garamond" w:hAnsi="Garamond" w:cs="Garamond"/>
                <w:color w:val="000000" w:themeColor="text1"/>
                <w:lang w:val="en-US"/>
              </w:rPr>
              <w:t>market._the</w:t>
            </w:r>
            <w:proofErr w:type="spellEnd"/>
            <w:r w:rsidRPr="4A046E21">
              <w:rPr>
                <w:rFonts w:ascii="Garamond" w:eastAsia="Garamond" w:hAnsi="Garamond" w:cs="Garamond"/>
                <w:color w:val="000000" w:themeColor="text1"/>
                <w:lang w:val="en-US"/>
              </w:rPr>
              <w:t xml:space="preserve"> reorganization of the company will  therefore have a beneficial effect on competitors.</w:t>
            </w:r>
          </w:p>
        </w:tc>
        <w:tc>
          <w:tcPr>
            <w:tcW w:w="516" w:type="pct"/>
            <w:tcMar>
              <w:left w:w="108" w:type="dxa"/>
              <w:bottom w:w="135" w:type="dxa"/>
              <w:right w:w="115" w:type="dxa"/>
            </w:tcMar>
            <w:vAlign w:val="center"/>
          </w:tcPr>
          <w:p w14:paraId="69587C75" w14:textId="617FB0F1"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1</w:t>
            </w:r>
          </w:p>
        </w:tc>
      </w:tr>
      <w:tr w:rsidR="4A046E21" w14:paraId="4C246D47" w14:textId="77777777" w:rsidTr="00A32B4F">
        <w:trPr>
          <w:trHeight w:val="540"/>
        </w:trPr>
        <w:tc>
          <w:tcPr>
            <w:tcW w:w="4484" w:type="pct"/>
            <w:tcMar>
              <w:left w:w="108" w:type="dxa"/>
              <w:bottom w:w="135" w:type="dxa"/>
              <w:right w:w="115" w:type="dxa"/>
            </w:tcMar>
            <w:vAlign w:val="bottom"/>
          </w:tcPr>
          <w:p w14:paraId="1197E6D0" w14:textId="68F641EC"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it is 20 years since the deadline for completion of the single market, and yet there are still numerous barriers to completely free trade within and between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member states; artificial barriers maintained because of the intransigence of a handful of countries, defending a particular interest or sector of importance to them at the national </w:t>
            </w:r>
            <w:proofErr w:type="spellStart"/>
            <w:r w:rsidRPr="4A046E21">
              <w:rPr>
                <w:rFonts w:ascii="Garamond" w:eastAsia="Garamond" w:hAnsi="Garamond" w:cs="Garamond"/>
                <w:color w:val="000000" w:themeColor="text1"/>
                <w:lang w:val="en-US"/>
              </w:rPr>
              <w:t>level._all</w:t>
            </w:r>
            <w:proofErr w:type="spellEnd"/>
            <w:r w:rsidRPr="4A046E21">
              <w:rPr>
                <w:rFonts w:ascii="Garamond" w:eastAsia="Garamond" w:hAnsi="Garamond" w:cs="Garamond"/>
                <w:color w:val="000000" w:themeColor="text1"/>
                <w:lang w:val="en-US"/>
              </w:rPr>
              <w:t xml:space="preserve"> the evidence, not least in the report on the single market by the then former commissioner and current </w:t>
            </w:r>
            <w:proofErr w:type="spellStart"/>
            <w:r w:rsidRPr="4A046E21">
              <w:rPr>
                <w:rFonts w:ascii="Garamond" w:eastAsia="Garamond" w:hAnsi="Garamond" w:cs="Garamond"/>
                <w:color w:val="000000" w:themeColor="text1"/>
                <w:lang w:val="en-US"/>
              </w:rPr>
              <w:t>italian</w:t>
            </w:r>
            <w:proofErr w:type="spellEnd"/>
            <w:r w:rsidRPr="4A046E21">
              <w:rPr>
                <w:rFonts w:ascii="Garamond" w:eastAsia="Garamond" w:hAnsi="Garamond" w:cs="Garamond"/>
                <w:color w:val="000000" w:themeColor="text1"/>
                <w:lang w:val="en-US"/>
              </w:rPr>
              <w:t xml:space="preserve"> pm </w:t>
            </w:r>
            <w:proofErr w:type="spellStart"/>
            <w:r w:rsidRPr="4A046E21">
              <w:rPr>
                <w:rFonts w:ascii="Garamond" w:eastAsia="Garamond" w:hAnsi="Garamond" w:cs="Garamond"/>
                <w:color w:val="000000" w:themeColor="text1"/>
                <w:lang w:val="en-US"/>
              </w:rPr>
              <w:t>mario</w:t>
            </w:r>
            <w:proofErr w:type="spellEnd"/>
            <w:r w:rsidRPr="4A046E21">
              <w:rPr>
                <w:rFonts w:ascii="Garamond" w:eastAsia="Garamond" w:hAnsi="Garamond" w:cs="Garamond"/>
                <w:color w:val="000000" w:themeColor="text1"/>
                <w:lang w:val="en-US"/>
              </w:rPr>
              <w:t xml:space="preserve"> </w:t>
            </w:r>
            <w:proofErr w:type="spellStart"/>
            <w:r w:rsidRPr="4A046E21">
              <w:rPr>
                <w:rFonts w:ascii="Garamond" w:eastAsia="Garamond" w:hAnsi="Garamond" w:cs="Garamond"/>
                <w:color w:val="000000" w:themeColor="text1"/>
                <w:lang w:val="en-US"/>
              </w:rPr>
              <w:t>monti</w:t>
            </w:r>
            <w:proofErr w:type="spellEnd"/>
            <w:r w:rsidRPr="4A046E21">
              <w:rPr>
                <w:rFonts w:ascii="Garamond" w:eastAsia="Garamond" w:hAnsi="Garamond" w:cs="Garamond"/>
                <w:color w:val="000000" w:themeColor="text1"/>
                <w:lang w:val="en-US"/>
              </w:rPr>
              <w:t xml:space="preserve"> drafted in 2009 at the request of president </w:t>
            </w:r>
            <w:proofErr w:type="spellStart"/>
            <w:r w:rsidRPr="4A046E21">
              <w:rPr>
                <w:rFonts w:ascii="Garamond" w:eastAsia="Garamond" w:hAnsi="Garamond" w:cs="Garamond"/>
                <w:color w:val="000000" w:themeColor="text1"/>
                <w:lang w:val="en-US"/>
              </w:rPr>
              <w:t>barroso</w:t>
            </w:r>
            <w:proofErr w:type="spellEnd"/>
            <w:r w:rsidRPr="4A046E21">
              <w:rPr>
                <w:rFonts w:ascii="Garamond" w:eastAsia="Garamond" w:hAnsi="Garamond" w:cs="Garamond"/>
                <w:color w:val="000000" w:themeColor="text1"/>
                <w:lang w:val="en-US"/>
              </w:rPr>
              <w:t xml:space="preserve">, showed that completing the single market would give a massive boost to the </w:t>
            </w:r>
            <w:proofErr w:type="spellStart"/>
            <w:r w:rsidRPr="4A046E21">
              <w:rPr>
                <w:rFonts w:ascii="Garamond" w:eastAsia="Garamond" w:hAnsi="Garamond" w:cs="Garamond"/>
                <w:color w:val="000000" w:themeColor="text1"/>
                <w:lang w:val="en-US"/>
              </w:rPr>
              <w:t>european</w:t>
            </w:r>
            <w:proofErr w:type="spellEnd"/>
            <w:r w:rsidRPr="4A046E21">
              <w:rPr>
                <w:rFonts w:ascii="Garamond" w:eastAsia="Garamond" w:hAnsi="Garamond" w:cs="Garamond"/>
                <w:color w:val="000000" w:themeColor="text1"/>
                <w:lang w:val="en-US"/>
              </w:rPr>
              <w:t xml:space="preserve"> </w:t>
            </w:r>
            <w:proofErr w:type="spellStart"/>
            <w:r w:rsidRPr="4A046E21">
              <w:rPr>
                <w:rFonts w:ascii="Garamond" w:eastAsia="Garamond" w:hAnsi="Garamond" w:cs="Garamond"/>
                <w:color w:val="000000" w:themeColor="text1"/>
                <w:lang w:val="en-US"/>
              </w:rPr>
              <w:t>economy._and</w:t>
            </w:r>
            <w:proofErr w:type="spellEnd"/>
            <w:r w:rsidRPr="4A046E21">
              <w:rPr>
                <w:rFonts w:ascii="Garamond" w:eastAsia="Garamond" w:hAnsi="Garamond" w:cs="Garamond"/>
                <w:color w:val="000000" w:themeColor="text1"/>
                <w:lang w:val="en-US"/>
              </w:rPr>
              <w:t xml:space="preserve"> yet it was not until </w:t>
            </w:r>
            <w:proofErr w:type="spellStart"/>
            <w:r w:rsidRPr="4A046E21">
              <w:rPr>
                <w:rFonts w:ascii="Garamond" w:eastAsia="Garamond" w:hAnsi="Garamond" w:cs="Garamond"/>
                <w:color w:val="000000" w:themeColor="text1"/>
                <w:lang w:val="en-US"/>
              </w:rPr>
              <w:t>europe</w:t>
            </w:r>
            <w:proofErr w:type="spellEnd"/>
            <w:r w:rsidRPr="4A046E21">
              <w:rPr>
                <w:rFonts w:ascii="Garamond" w:eastAsia="Garamond" w:hAnsi="Garamond" w:cs="Garamond"/>
                <w:color w:val="000000" w:themeColor="text1"/>
                <w:lang w:val="en-US"/>
              </w:rPr>
              <w:t xml:space="preserve"> was teetering on the brink of economic and financial meltdown that the political momentum finally shifted in </w:t>
            </w:r>
            <w:proofErr w:type="spellStart"/>
            <w:r w:rsidRPr="4A046E21">
              <w:rPr>
                <w:rFonts w:ascii="Garamond" w:eastAsia="Garamond" w:hAnsi="Garamond" w:cs="Garamond"/>
                <w:color w:val="000000" w:themeColor="text1"/>
                <w:lang w:val="en-US"/>
              </w:rPr>
              <w:t>favour</w:t>
            </w:r>
            <w:proofErr w:type="spellEnd"/>
            <w:r w:rsidRPr="4A046E21">
              <w:rPr>
                <w:rFonts w:ascii="Garamond" w:eastAsia="Garamond" w:hAnsi="Garamond" w:cs="Garamond"/>
                <w:color w:val="000000" w:themeColor="text1"/>
                <w:lang w:val="en-US"/>
              </w:rPr>
              <w:t xml:space="preserve"> of taking the necessary final steps to fully open up the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market.</w:t>
            </w:r>
          </w:p>
        </w:tc>
        <w:tc>
          <w:tcPr>
            <w:tcW w:w="516" w:type="pct"/>
            <w:tcMar>
              <w:left w:w="108" w:type="dxa"/>
              <w:bottom w:w="135" w:type="dxa"/>
              <w:right w:w="115" w:type="dxa"/>
            </w:tcMar>
            <w:vAlign w:val="center"/>
          </w:tcPr>
          <w:p w14:paraId="13CDD88B" w14:textId="3D8BB7C8"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1</w:t>
            </w:r>
          </w:p>
        </w:tc>
      </w:tr>
      <w:tr w:rsidR="4A046E21" w14:paraId="4E36C0B9" w14:textId="77777777" w:rsidTr="00A32B4F">
        <w:trPr>
          <w:trHeight w:val="540"/>
        </w:trPr>
        <w:tc>
          <w:tcPr>
            <w:tcW w:w="4484" w:type="pct"/>
            <w:tcMar>
              <w:left w:w="108" w:type="dxa"/>
              <w:bottom w:w="135" w:type="dxa"/>
              <w:right w:w="115" w:type="dxa"/>
            </w:tcMar>
            <w:vAlign w:val="bottom"/>
          </w:tcPr>
          <w:p w14:paraId="2B1A7A64" w14:textId="06ECC75D"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however, what we are seeing in all of these dialogues is that many of the issues we face are in fact very </w:t>
            </w:r>
            <w:proofErr w:type="spellStart"/>
            <w:r w:rsidRPr="4A046E21">
              <w:rPr>
                <w:rFonts w:ascii="Garamond" w:eastAsia="Garamond" w:hAnsi="Garamond" w:cs="Garamond"/>
                <w:color w:val="000000" w:themeColor="text1"/>
                <w:lang w:val="en-US"/>
              </w:rPr>
              <w:t>similar._but</w:t>
            </w:r>
            <w:proofErr w:type="spellEnd"/>
            <w:r w:rsidRPr="4A046E21">
              <w:rPr>
                <w:rFonts w:ascii="Garamond" w:eastAsia="Garamond" w:hAnsi="Garamond" w:cs="Garamond"/>
                <w:color w:val="000000" w:themeColor="text1"/>
                <w:lang w:val="en-US"/>
              </w:rPr>
              <w:t xml:space="preserve"> regulatory barriers to trade and investment are crucial as emerging countries develop more and more sophisticated regulatory regimes._</w:t>
            </w:r>
            <w:proofErr w:type="spellStart"/>
            <w:r w:rsidRPr="4A046E21">
              <w:rPr>
                <w:rFonts w:ascii="Garamond" w:eastAsia="Garamond" w:hAnsi="Garamond" w:cs="Garamond"/>
                <w:color w:val="000000" w:themeColor="text1"/>
                <w:lang w:val="en-US"/>
              </w:rPr>
              <w:t>europe</w:t>
            </w:r>
            <w:proofErr w:type="spellEnd"/>
            <w:r w:rsidRPr="4A046E21">
              <w:rPr>
                <w:rFonts w:ascii="Garamond" w:eastAsia="Garamond" w:hAnsi="Garamond" w:cs="Garamond"/>
                <w:color w:val="000000" w:themeColor="text1"/>
                <w:lang w:val="en-US"/>
              </w:rPr>
              <w:t xml:space="preserve"> and the </w:t>
            </w:r>
            <w:proofErr w:type="gramStart"/>
            <w:r w:rsidRPr="4A046E21">
              <w:rPr>
                <w:rFonts w:ascii="Garamond" w:eastAsia="Garamond" w:hAnsi="Garamond" w:cs="Garamond"/>
                <w:color w:val="000000" w:themeColor="text1"/>
                <w:lang w:val="en-US"/>
              </w:rPr>
              <w:t>united states</w:t>
            </w:r>
            <w:proofErr w:type="gramEnd"/>
            <w:r w:rsidRPr="4A046E21">
              <w:rPr>
                <w:rFonts w:ascii="Garamond" w:eastAsia="Garamond" w:hAnsi="Garamond" w:cs="Garamond"/>
                <w:color w:val="000000" w:themeColor="text1"/>
                <w:lang w:val="en-US"/>
              </w:rPr>
              <w:t xml:space="preserve"> have a common agenda here – to promote the core principles of transparency and predictability so as to facilitate smooth operation of our companies' global supply chains.</w:t>
            </w:r>
          </w:p>
        </w:tc>
        <w:tc>
          <w:tcPr>
            <w:tcW w:w="516" w:type="pct"/>
            <w:tcMar>
              <w:left w:w="108" w:type="dxa"/>
              <w:bottom w:w="135" w:type="dxa"/>
              <w:right w:w="115" w:type="dxa"/>
            </w:tcMar>
            <w:vAlign w:val="center"/>
          </w:tcPr>
          <w:p w14:paraId="610193B9" w14:textId="4917118C"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1</w:t>
            </w:r>
          </w:p>
        </w:tc>
      </w:tr>
      <w:tr w:rsidR="4A046E21" w14:paraId="0FC6B91C" w14:textId="77777777" w:rsidTr="00A32B4F">
        <w:trPr>
          <w:trHeight w:val="540"/>
        </w:trPr>
        <w:tc>
          <w:tcPr>
            <w:tcW w:w="4484" w:type="pct"/>
            <w:tcMar>
              <w:left w:w="108" w:type="dxa"/>
              <w:bottom w:w="135" w:type="dxa"/>
              <w:right w:w="115" w:type="dxa"/>
            </w:tcMar>
            <w:vAlign w:val="bottom"/>
          </w:tcPr>
          <w:p w14:paraId="014D50CC" w14:textId="7D6DB1C9"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consequently, it is evident that </w:t>
            </w:r>
            <w:proofErr w:type="spellStart"/>
            <w:r w:rsidRPr="4A046E21">
              <w:rPr>
                <w:rFonts w:ascii="Garamond" w:eastAsia="Garamond" w:hAnsi="Garamond" w:cs="Garamond"/>
                <w:color w:val="000000" w:themeColor="text1"/>
                <w:lang w:val="en-US"/>
              </w:rPr>
              <w:t>europe</w:t>
            </w:r>
            <w:proofErr w:type="spellEnd"/>
            <w:r w:rsidRPr="4A046E21">
              <w:rPr>
                <w:rFonts w:ascii="Garamond" w:eastAsia="Garamond" w:hAnsi="Garamond" w:cs="Garamond"/>
                <w:color w:val="000000" w:themeColor="text1"/>
                <w:lang w:val="en-US"/>
              </w:rPr>
              <w:t xml:space="preserve"> has to pursue its structural change by </w:t>
            </w:r>
            <w:proofErr w:type="spellStart"/>
            <w:r w:rsidRPr="4A046E21">
              <w:rPr>
                <w:rFonts w:ascii="Garamond" w:eastAsia="Garamond" w:hAnsi="Garamond" w:cs="Garamond"/>
                <w:color w:val="000000" w:themeColor="text1"/>
                <w:lang w:val="en-US"/>
              </w:rPr>
              <w:t>capitalising</w:t>
            </w:r>
            <w:proofErr w:type="spellEnd"/>
            <w:r w:rsidRPr="4A046E21">
              <w:rPr>
                <w:rFonts w:ascii="Garamond" w:eastAsia="Garamond" w:hAnsi="Garamond" w:cs="Garamond"/>
                <w:color w:val="000000" w:themeColor="text1"/>
                <w:lang w:val="en-US"/>
              </w:rPr>
              <w:t xml:space="preserve"> on the global </w:t>
            </w:r>
            <w:proofErr w:type="spellStart"/>
            <w:r w:rsidRPr="4A046E21">
              <w:rPr>
                <w:rFonts w:ascii="Garamond" w:eastAsia="Garamond" w:hAnsi="Garamond" w:cs="Garamond"/>
                <w:color w:val="000000" w:themeColor="text1"/>
                <w:lang w:val="en-US"/>
              </w:rPr>
              <w:t>economy._it</w:t>
            </w:r>
            <w:proofErr w:type="spellEnd"/>
            <w:r w:rsidRPr="4A046E21">
              <w:rPr>
                <w:rFonts w:ascii="Garamond" w:eastAsia="Garamond" w:hAnsi="Garamond" w:cs="Garamond"/>
                <w:color w:val="000000" w:themeColor="text1"/>
                <w:lang w:val="en-US"/>
              </w:rPr>
              <w:t xml:space="preserve"> is not least the challenge – but even more the opportunities – from trade and global competition that calls for economic reforms and puts pressure on rent-seeking </w:t>
            </w:r>
            <w:proofErr w:type="spellStart"/>
            <w:r w:rsidRPr="4A046E21">
              <w:rPr>
                <w:rFonts w:ascii="Garamond" w:eastAsia="Garamond" w:hAnsi="Garamond" w:cs="Garamond"/>
                <w:color w:val="000000" w:themeColor="text1"/>
                <w:lang w:val="en-US"/>
              </w:rPr>
              <w:t>societies._that</w:t>
            </w:r>
            <w:proofErr w:type="spellEnd"/>
            <w:r w:rsidRPr="4A046E21">
              <w:rPr>
                <w:rFonts w:ascii="Garamond" w:eastAsia="Garamond" w:hAnsi="Garamond" w:cs="Garamond"/>
                <w:color w:val="000000" w:themeColor="text1"/>
                <w:lang w:val="en-US"/>
              </w:rPr>
              <w:t xml:space="preserve"> the trade negotiations with the us can now be opened is of paramount importance from this standpoint.</w:t>
            </w:r>
          </w:p>
        </w:tc>
        <w:tc>
          <w:tcPr>
            <w:tcW w:w="516" w:type="pct"/>
            <w:tcMar>
              <w:left w:w="108" w:type="dxa"/>
              <w:bottom w:w="135" w:type="dxa"/>
              <w:right w:w="115" w:type="dxa"/>
            </w:tcMar>
            <w:vAlign w:val="center"/>
          </w:tcPr>
          <w:p w14:paraId="49C26C94" w14:textId="1B122940"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1</w:t>
            </w:r>
          </w:p>
        </w:tc>
      </w:tr>
      <w:tr w:rsidR="4A046E21" w14:paraId="4ACC1C16" w14:textId="77777777" w:rsidTr="00A32B4F">
        <w:trPr>
          <w:trHeight w:val="600"/>
        </w:trPr>
        <w:tc>
          <w:tcPr>
            <w:tcW w:w="4484" w:type="pct"/>
            <w:tcMar>
              <w:left w:w="108" w:type="dxa"/>
              <w:bottom w:w="135" w:type="dxa"/>
              <w:right w:w="115" w:type="dxa"/>
            </w:tcMar>
            <w:vAlign w:val="bottom"/>
          </w:tcPr>
          <w:p w14:paraId="219FD467" w14:textId="5895D7BE"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background while services represent two thirds of the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economy and account for some 90% of job creation, the services sector is </w:t>
            </w:r>
            <w:proofErr w:type="spellStart"/>
            <w:r w:rsidRPr="4A046E21">
              <w:rPr>
                <w:rFonts w:ascii="Garamond" w:eastAsia="Garamond" w:hAnsi="Garamond" w:cs="Garamond"/>
                <w:color w:val="000000" w:themeColor="text1"/>
                <w:lang w:val="en-US"/>
              </w:rPr>
              <w:t>underperforming._productivity</w:t>
            </w:r>
            <w:proofErr w:type="spellEnd"/>
            <w:r w:rsidRPr="4A046E21">
              <w:rPr>
                <w:rFonts w:ascii="Garamond" w:eastAsia="Garamond" w:hAnsi="Garamond" w:cs="Garamond"/>
                <w:color w:val="000000" w:themeColor="text1"/>
                <w:lang w:val="en-US"/>
              </w:rPr>
              <w:t xml:space="preserve"> growth in the sector is particularly low in comparison with the rest of the </w:t>
            </w:r>
            <w:proofErr w:type="spellStart"/>
            <w:r w:rsidRPr="4A046E21">
              <w:rPr>
                <w:rFonts w:ascii="Garamond" w:eastAsia="Garamond" w:hAnsi="Garamond" w:cs="Garamond"/>
                <w:color w:val="000000" w:themeColor="text1"/>
                <w:lang w:val="en-US"/>
              </w:rPr>
              <w:t>world._to</w:t>
            </w:r>
            <w:proofErr w:type="spellEnd"/>
            <w:r w:rsidRPr="4A046E21">
              <w:rPr>
                <w:rFonts w:ascii="Garamond" w:eastAsia="Garamond" w:hAnsi="Garamond" w:cs="Garamond"/>
                <w:color w:val="000000" w:themeColor="text1"/>
                <w:lang w:val="en-US"/>
              </w:rPr>
              <w:t xml:space="preserve"> reverse this trend and create additional jobs and growth, member states need to stimulate the development </w:t>
            </w:r>
            <w:r w:rsidRPr="4A046E21">
              <w:rPr>
                <w:rFonts w:ascii="Garamond" w:eastAsia="Garamond" w:hAnsi="Garamond" w:cs="Garamond"/>
                <w:color w:val="000000" w:themeColor="text1"/>
                <w:lang w:val="en-US"/>
              </w:rPr>
              <w:lastRenderedPageBreak/>
              <w:t>of the services economy and make better use of the potential of the single market for services.</w:t>
            </w:r>
          </w:p>
        </w:tc>
        <w:tc>
          <w:tcPr>
            <w:tcW w:w="516" w:type="pct"/>
            <w:tcMar>
              <w:left w:w="108" w:type="dxa"/>
              <w:bottom w:w="135" w:type="dxa"/>
              <w:right w:w="115" w:type="dxa"/>
            </w:tcMar>
            <w:vAlign w:val="center"/>
          </w:tcPr>
          <w:p w14:paraId="31EC22C2" w14:textId="7C091071"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lastRenderedPageBreak/>
              <w:t>1</w:t>
            </w:r>
          </w:p>
        </w:tc>
      </w:tr>
      <w:tr w:rsidR="4A046E21" w14:paraId="5550D221" w14:textId="77777777" w:rsidTr="00A32B4F">
        <w:trPr>
          <w:trHeight w:val="615"/>
        </w:trPr>
        <w:tc>
          <w:tcPr>
            <w:tcW w:w="4484" w:type="pct"/>
            <w:tcMar>
              <w:left w:w="108" w:type="dxa"/>
              <w:bottom w:w="135" w:type="dxa"/>
              <w:right w:w="115" w:type="dxa"/>
            </w:tcMar>
            <w:vAlign w:val="bottom"/>
          </w:tcPr>
          <w:p w14:paraId="2454D95B" w14:textId="2FDB8748"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background to the commission decision a key message from the commission for the </w:t>
            </w:r>
            <w:proofErr w:type="spellStart"/>
            <w:r w:rsidRPr="4A046E21">
              <w:rPr>
                <w:rFonts w:ascii="Garamond" w:eastAsia="Garamond" w:hAnsi="Garamond" w:cs="Garamond"/>
                <w:color w:val="000000" w:themeColor="text1"/>
                <w:lang w:val="en-US"/>
              </w:rPr>
              <w:t>barcelona</w:t>
            </w:r>
            <w:proofErr w:type="spellEnd"/>
            <w:r w:rsidRPr="4A046E21">
              <w:rPr>
                <w:rFonts w:ascii="Garamond" w:eastAsia="Garamond" w:hAnsi="Garamond" w:cs="Garamond"/>
                <w:color w:val="000000" w:themeColor="text1"/>
                <w:lang w:val="en-US"/>
              </w:rPr>
              <w:t xml:space="preserve"> summit will be : 'the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must manage change </w:t>
            </w:r>
            <w:proofErr w:type="spellStart"/>
            <w:r w:rsidRPr="4A046E21">
              <w:rPr>
                <w:rFonts w:ascii="Garamond" w:eastAsia="Garamond" w:hAnsi="Garamond" w:cs="Garamond"/>
                <w:color w:val="000000" w:themeColor="text1"/>
                <w:lang w:val="en-US"/>
              </w:rPr>
              <w:t>successfully'._central</w:t>
            </w:r>
            <w:proofErr w:type="spellEnd"/>
            <w:r w:rsidRPr="4A046E21">
              <w:rPr>
                <w:rFonts w:ascii="Garamond" w:eastAsia="Garamond" w:hAnsi="Garamond" w:cs="Garamond"/>
                <w:color w:val="000000" w:themeColor="text1"/>
                <w:lang w:val="en-US"/>
              </w:rPr>
              <w:t xml:space="preserve"> to this theme will be : how to strengthen the </w:t>
            </w:r>
            <w:proofErr w:type="spellStart"/>
            <w:r w:rsidRPr="4A046E21">
              <w:rPr>
                <w:rFonts w:ascii="Garamond" w:eastAsia="Garamond" w:hAnsi="Garamond" w:cs="Garamond"/>
                <w:color w:val="000000" w:themeColor="text1"/>
                <w:lang w:val="en-US"/>
              </w:rPr>
              <w:t>european</w:t>
            </w:r>
            <w:proofErr w:type="spellEnd"/>
            <w:r w:rsidRPr="4A046E21">
              <w:rPr>
                <w:rFonts w:ascii="Garamond" w:eastAsia="Garamond" w:hAnsi="Garamond" w:cs="Garamond"/>
                <w:color w:val="000000" w:themeColor="text1"/>
                <w:lang w:val="en-US"/>
              </w:rPr>
              <w:t xml:space="preserve"> employment strategy ; a planned commission action plan on new </w:t>
            </w:r>
            <w:proofErr w:type="spellStart"/>
            <w:r w:rsidRPr="4A046E21">
              <w:rPr>
                <w:rFonts w:ascii="Garamond" w:eastAsia="Garamond" w:hAnsi="Garamond" w:cs="Garamond"/>
                <w:color w:val="000000" w:themeColor="text1"/>
                <w:lang w:val="en-US"/>
              </w:rPr>
              <w:t>european</w:t>
            </w:r>
            <w:proofErr w:type="spellEnd"/>
            <w:r w:rsidRPr="4A046E21">
              <w:rPr>
                <w:rFonts w:ascii="Garamond" w:eastAsia="Garamond" w:hAnsi="Garamond" w:cs="Garamond"/>
                <w:color w:val="000000" w:themeColor="text1"/>
                <w:lang w:val="en-US"/>
              </w:rPr>
              <w:t xml:space="preserve"> </w:t>
            </w:r>
            <w:proofErr w:type="spellStart"/>
            <w:r w:rsidRPr="4A046E21">
              <w:rPr>
                <w:rFonts w:ascii="Garamond" w:eastAsia="Garamond" w:hAnsi="Garamond" w:cs="Garamond"/>
                <w:color w:val="000000" w:themeColor="text1"/>
                <w:lang w:val="en-US"/>
              </w:rPr>
              <w:t>labour</w:t>
            </w:r>
            <w:proofErr w:type="spellEnd"/>
            <w:r w:rsidRPr="4A046E21">
              <w:rPr>
                <w:rFonts w:ascii="Garamond" w:eastAsia="Garamond" w:hAnsi="Garamond" w:cs="Garamond"/>
                <w:color w:val="000000" w:themeColor="text1"/>
                <w:lang w:val="en-US"/>
              </w:rPr>
              <w:t xml:space="preserve"> markets and the present new decision on principles for anticipating and managing the social effects of corporate restructuring ._for the record, the ultimate objective of the whole </w:t>
            </w:r>
            <w:proofErr w:type="spellStart"/>
            <w:r w:rsidRPr="4A046E21">
              <w:rPr>
                <w:rFonts w:ascii="Garamond" w:eastAsia="Garamond" w:hAnsi="Garamond" w:cs="Garamond"/>
                <w:color w:val="000000" w:themeColor="text1"/>
                <w:lang w:val="en-US"/>
              </w:rPr>
              <w:t>lisbon</w:t>
            </w:r>
            <w:proofErr w:type="spellEnd"/>
            <w:r w:rsidRPr="4A046E21">
              <w:rPr>
                <w:rFonts w:ascii="Garamond" w:eastAsia="Garamond" w:hAnsi="Garamond" w:cs="Garamond"/>
                <w:color w:val="000000" w:themeColor="text1"/>
                <w:lang w:val="en-US"/>
              </w:rPr>
              <w:t xml:space="preserve"> strategy is full employment in the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w:t>
            </w:r>
          </w:p>
        </w:tc>
        <w:tc>
          <w:tcPr>
            <w:tcW w:w="516" w:type="pct"/>
            <w:tcMar>
              <w:left w:w="108" w:type="dxa"/>
              <w:bottom w:w="135" w:type="dxa"/>
              <w:right w:w="115" w:type="dxa"/>
            </w:tcMar>
            <w:vAlign w:val="center"/>
          </w:tcPr>
          <w:p w14:paraId="4145C98C" w14:textId="45203D15"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1</w:t>
            </w:r>
          </w:p>
        </w:tc>
      </w:tr>
      <w:tr w:rsidR="4A046E21" w14:paraId="0E48D024" w14:textId="77777777" w:rsidTr="00A32B4F">
        <w:trPr>
          <w:trHeight w:val="615"/>
        </w:trPr>
        <w:tc>
          <w:tcPr>
            <w:tcW w:w="4484" w:type="pct"/>
            <w:tcMar>
              <w:left w:w="108" w:type="dxa"/>
              <w:bottom w:w="135" w:type="dxa"/>
              <w:right w:w="115" w:type="dxa"/>
            </w:tcMar>
            <w:vAlign w:val="bottom"/>
          </w:tcPr>
          <w:p w14:paraId="06387738" w14:textId="5E3C1901"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you will find in the forecast document an updated simulation of the substantial growth effects that can be expected: up to 2% of </w:t>
            </w:r>
            <w:proofErr w:type="spellStart"/>
            <w:r w:rsidRPr="4A046E21">
              <w:rPr>
                <w:rFonts w:ascii="Garamond" w:eastAsia="Garamond" w:hAnsi="Garamond" w:cs="Garamond"/>
                <w:color w:val="000000" w:themeColor="text1"/>
                <w:lang w:val="en-US"/>
              </w:rPr>
              <w:t>gdp</w:t>
            </w:r>
            <w:proofErr w:type="spellEnd"/>
            <w:r w:rsidRPr="4A046E21">
              <w:rPr>
                <w:rFonts w:ascii="Garamond" w:eastAsia="Garamond" w:hAnsi="Garamond" w:cs="Garamond"/>
                <w:color w:val="000000" w:themeColor="text1"/>
                <w:lang w:val="en-US"/>
              </w:rPr>
              <w:t xml:space="preserve"> in the years of its active </w:t>
            </w:r>
            <w:proofErr w:type="spellStart"/>
            <w:r w:rsidRPr="4A046E21">
              <w:rPr>
                <w:rFonts w:ascii="Garamond" w:eastAsia="Garamond" w:hAnsi="Garamond" w:cs="Garamond"/>
                <w:color w:val="000000" w:themeColor="text1"/>
                <w:lang w:val="en-US"/>
              </w:rPr>
              <w:t>operation._moreover</w:t>
            </w:r>
            <w:proofErr w:type="spellEnd"/>
            <w:r w:rsidRPr="4A046E21">
              <w:rPr>
                <w:rFonts w:ascii="Garamond" w:eastAsia="Garamond" w:hAnsi="Garamond" w:cs="Garamond"/>
                <w:color w:val="000000" w:themeColor="text1"/>
                <w:lang w:val="en-US"/>
              </w:rPr>
              <w:t xml:space="preserve">, </w:t>
            </w:r>
            <w:proofErr w:type="spellStart"/>
            <w:r w:rsidRPr="4A046E21">
              <w:rPr>
                <w:rFonts w:ascii="Garamond" w:eastAsia="Garamond" w:hAnsi="Garamond" w:cs="Garamond"/>
                <w:color w:val="000000" w:themeColor="text1"/>
                <w:lang w:val="en-US"/>
              </w:rPr>
              <w:t>nextgenerationeu</w:t>
            </w:r>
            <w:proofErr w:type="spellEnd"/>
            <w:r w:rsidRPr="4A046E21">
              <w:rPr>
                <w:rFonts w:ascii="Garamond" w:eastAsia="Garamond" w:hAnsi="Garamond" w:cs="Garamond"/>
                <w:color w:val="000000" w:themeColor="text1"/>
                <w:lang w:val="en-US"/>
              </w:rPr>
              <w:t xml:space="preserve"> will be a strong tool to counter the divergence between countries that i have mentioned, since most of the countries hardest hit according to our forecast are also part of the group of member states receiving the largest grant contributions, for example </w:t>
            </w:r>
            <w:proofErr w:type="spellStart"/>
            <w:r w:rsidRPr="4A046E21">
              <w:rPr>
                <w:rFonts w:ascii="Garamond" w:eastAsia="Garamond" w:hAnsi="Garamond" w:cs="Garamond"/>
                <w:color w:val="000000" w:themeColor="text1"/>
                <w:lang w:val="en-US"/>
              </w:rPr>
              <w:t>croatia</w:t>
            </w:r>
            <w:proofErr w:type="spellEnd"/>
            <w:r w:rsidRPr="4A046E21">
              <w:rPr>
                <w:rFonts w:ascii="Garamond" w:eastAsia="Garamond" w:hAnsi="Garamond" w:cs="Garamond"/>
                <w:color w:val="000000" w:themeColor="text1"/>
                <w:lang w:val="en-US"/>
              </w:rPr>
              <w:t xml:space="preserve">, </w:t>
            </w:r>
            <w:proofErr w:type="spellStart"/>
            <w:r w:rsidRPr="4A046E21">
              <w:rPr>
                <w:rFonts w:ascii="Garamond" w:eastAsia="Garamond" w:hAnsi="Garamond" w:cs="Garamond"/>
                <w:color w:val="000000" w:themeColor="text1"/>
                <w:lang w:val="en-US"/>
              </w:rPr>
              <w:t>italy</w:t>
            </w:r>
            <w:proofErr w:type="spellEnd"/>
            <w:r w:rsidRPr="4A046E21">
              <w:rPr>
                <w:rFonts w:ascii="Garamond" w:eastAsia="Garamond" w:hAnsi="Garamond" w:cs="Garamond"/>
                <w:color w:val="000000" w:themeColor="text1"/>
                <w:lang w:val="en-US"/>
              </w:rPr>
              <w:t xml:space="preserve">, </w:t>
            </w:r>
            <w:proofErr w:type="spellStart"/>
            <w:r w:rsidRPr="4A046E21">
              <w:rPr>
                <w:rFonts w:ascii="Garamond" w:eastAsia="Garamond" w:hAnsi="Garamond" w:cs="Garamond"/>
                <w:color w:val="000000" w:themeColor="text1"/>
                <w:lang w:val="en-US"/>
              </w:rPr>
              <w:t>portugal</w:t>
            </w:r>
            <w:proofErr w:type="spellEnd"/>
            <w:r w:rsidRPr="4A046E21">
              <w:rPr>
                <w:rFonts w:ascii="Garamond" w:eastAsia="Garamond" w:hAnsi="Garamond" w:cs="Garamond"/>
                <w:color w:val="000000" w:themeColor="text1"/>
                <w:lang w:val="en-US"/>
              </w:rPr>
              <w:t xml:space="preserve"> and </w:t>
            </w:r>
            <w:proofErr w:type="spellStart"/>
            <w:r w:rsidRPr="4A046E21">
              <w:rPr>
                <w:rFonts w:ascii="Garamond" w:eastAsia="Garamond" w:hAnsi="Garamond" w:cs="Garamond"/>
                <w:color w:val="000000" w:themeColor="text1"/>
                <w:lang w:val="en-US"/>
              </w:rPr>
              <w:t>spain</w:t>
            </w:r>
            <w:proofErr w:type="spellEnd"/>
            <w:r w:rsidRPr="4A046E21">
              <w:rPr>
                <w:rFonts w:ascii="Garamond" w:eastAsia="Garamond" w:hAnsi="Garamond" w:cs="Garamond"/>
                <w:color w:val="000000" w:themeColor="text1"/>
                <w:lang w:val="en-US"/>
              </w:rPr>
              <w:t xml:space="preserve"> and </w:t>
            </w:r>
            <w:proofErr w:type="spellStart"/>
            <w:r w:rsidRPr="4A046E21">
              <w:rPr>
                <w:rFonts w:ascii="Garamond" w:eastAsia="Garamond" w:hAnsi="Garamond" w:cs="Garamond"/>
                <w:color w:val="000000" w:themeColor="text1"/>
                <w:lang w:val="en-US"/>
              </w:rPr>
              <w:t>greece</w:t>
            </w:r>
            <w:proofErr w:type="spellEnd"/>
            <w:r w:rsidRPr="4A046E21">
              <w:rPr>
                <w:rFonts w:ascii="Garamond" w:eastAsia="Garamond" w:hAnsi="Garamond" w:cs="Garamond"/>
                <w:color w:val="000000" w:themeColor="text1"/>
                <w:lang w:val="en-US"/>
              </w:rPr>
              <w:t xml:space="preserve">._so, it's essential that we see a swift agreement in the ongoing negotiations on </w:t>
            </w:r>
            <w:proofErr w:type="spellStart"/>
            <w:r w:rsidRPr="4A046E21">
              <w:rPr>
                <w:rFonts w:ascii="Garamond" w:eastAsia="Garamond" w:hAnsi="Garamond" w:cs="Garamond"/>
                <w:color w:val="000000" w:themeColor="text1"/>
                <w:lang w:val="en-US"/>
              </w:rPr>
              <w:t>nextgenerationeu</w:t>
            </w:r>
            <w:proofErr w:type="spellEnd"/>
            <w:r w:rsidRPr="4A046E21">
              <w:rPr>
                <w:rFonts w:ascii="Garamond" w:eastAsia="Garamond" w:hAnsi="Garamond" w:cs="Garamond"/>
                <w:color w:val="000000" w:themeColor="text1"/>
                <w:lang w:val="en-US"/>
              </w:rPr>
              <w:t xml:space="preserve"> so that this game-changing </w:t>
            </w:r>
            <w:proofErr w:type="spellStart"/>
            <w:r w:rsidRPr="4A046E21">
              <w:rPr>
                <w:rFonts w:ascii="Garamond" w:eastAsia="Garamond" w:hAnsi="Garamond" w:cs="Garamond"/>
                <w:color w:val="000000" w:themeColor="text1"/>
                <w:lang w:val="en-US"/>
              </w:rPr>
              <w:t>programme</w:t>
            </w:r>
            <w:proofErr w:type="spellEnd"/>
            <w:r w:rsidRPr="4A046E21">
              <w:rPr>
                <w:rFonts w:ascii="Garamond" w:eastAsia="Garamond" w:hAnsi="Garamond" w:cs="Garamond"/>
                <w:color w:val="000000" w:themeColor="text1"/>
                <w:lang w:val="en-US"/>
              </w:rPr>
              <w:t xml:space="preserve"> of investment and reform can get underway and start supporting the recovery and transformation of our economies.</w:t>
            </w:r>
          </w:p>
        </w:tc>
        <w:tc>
          <w:tcPr>
            <w:tcW w:w="516" w:type="pct"/>
            <w:tcMar>
              <w:left w:w="108" w:type="dxa"/>
              <w:bottom w:w="135" w:type="dxa"/>
              <w:right w:w="115" w:type="dxa"/>
            </w:tcMar>
            <w:vAlign w:val="center"/>
          </w:tcPr>
          <w:p w14:paraId="10F145F8" w14:textId="116BF462"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362352DB" w14:textId="77777777" w:rsidTr="00A32B4F">
        <w:trPr>
          <w:trHeight w:val="615"/>
        </w:trPr>
        <w:tc>
          <w:tcPr>
            <w:tcW w:w="4484" w:type="pct"/>
            <w:tcMar>
              <w:left w:w="108" w:type="dxa"/>
              <w:bottom w:w="135" w:type="dxa"/>
              <w:right w:w="115" w:type="dxa"/>
            </w:tcMar>
            <w:vAlign w:val="bottom"/>
          </w:tcPr>
          <w:p w14:paraId="4903C23F" w14:textId="579B0ECD"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the </w:t>
            </w:r>
            <w:proofErr w:type="spellStart"/>
            <w:r w:rsidRPr="4A046E21">
              <w:rPr>
                <w:rFonts w:ascii="Garamond" w:eastAsia="Garamond" w:hAnsi="Garamond" w:cs="Garamond"/>
                <w:color w:val="000000" w:themeColor="text1"/>
                <w:lang w:val="en-US"/>
              </w:rPr>
              <w:t>german</w:t>
            </w:r>
            <w:proofErr w:type="spellEnd"/>
            <w:r w:rsidRPr="4A046E21">
              <w:rPr>
                <w:rFonts w:ascii="Garamond" w:eastAsia="Garamond" w:hAnsi="Garamond" w:cs="Garamond"/>
                <w:color w:val="000000" w:themeColor="text1"/>
                <w:lang w:val="en-US"/>
              </w:rPr>
              <w:t xml:space="preserve"> measure </w:t>
            </w:r>
            <w:proofErr w:type="spellStart"/>
            <w:r w:rsidRPr="4A046E21">
              <w:rPr>
                <w:rFonts w:ascii="Garamond" w:eastAsia="Garamond" w:hAnsi="Garamond" w:cs="Garamond"/>
                <w:color w:val="000000" w:themeColor="text1"/>
                <w:lang w:val="en-US"/>
              </w:rPr>
              <w:t>germany</w:t>
            </w:r>
            <w:proofErr w:type="spellEnd"/>
            <w:r w:rsidRPr="4A046E21">
              <w:rPr>
                <w:rFonts w:ascii="Garamond" w:eastAsia="Garamond" w:hAnsi="Garamond" w:cs="Garamond"/>
                <w:color w:val="000000" w:themeColor="text1"/>
                <w:lang w:val="en-US"/>
              </w:rPr>
              <w:t xml:space="preserve"> notified to the commission its plan to support </w:t>
            </w:r>
            <w:proofErr w:type="spellStart"/>
            <w:r w:rsidRPr="4A046E21">
              <w:rPr>
                <w:rFonts w:ascii="Garamond" w:eastAsia="Garamond" w:hAnsi="Garamond" w:cs="Garamond"/>
                <w:color w:val="000000" w:themeColor="text1"/>
                <w:lang w:val="en-US"/>
              </w:rPr>
              <w:t>arcelormittal's</w:t>
            </w:r>
            <w:proofErr w:type="spellEnd"/>
            <w:r w:rsidRPr="4A046E21">
              <w:rPr>
                <w:rFonts w:ascii="Garamond" w:eastAsia="Garamond" w:hAnsi="Garamond" w:cs="Garamond"/>
                <w:color w:val="000000" w:themeColor="text1"/>
                <w:lang w:val="en-US"/>
              </w:rPr>
              <w:t xml:space="preserve"> project to partially </w:t>
            </w:r>
            <w:proofErr w:type="spellStart"/>
            <w:r w:rsidRPr="4A046E21">
              <w:rPr>
                <w:rFonts w:ascii="Garamond" w:eastAsia="Garamond" w:hAnsi="Garamond" w:cs="Garamond"/>
                <w:color w:val="000000" w:themeColor="text1"/>
                <w:lang w:val="en-US"/>
              </w:rPr>
              <w:t>decarbonise</w:t>
            </w:r>
            <w:proofErr w:type="spellEnd"/>
            <w:r w:rsidRPr="4A046E21">
              <w:rPr>
                <w:rFonts w:ascii="Garamond" w:eastAsia="Garamond" w:hAnsi="Garamond" w:cs="Garamond"/>
                <w:color w:val="000000" w:themeColor="text1"/>
                <w:lang w:val="en-US"/>
              </w:rPr>
              <w:t xml:space="preserve"> its steel production in </w:t>
            </w:r>
            <w:proofErr w:type="spellStart"/>
            <w:r w:rsidRPr="4A046E21">
              <w:rPr>
                <w:rFonts w:ascii="Garamond" w:eastAsia="Garamond" w:hAnsi="Garamond" w:cs="Garamond"/>
                <w:color w:val="000000" w:themeColor="text1"/>
                <w:lang w:val="en-US"/>
              </w:rPr>
              <w:t>hamburg</w:t>
            </w:r>
            <w:proofErr w:type="spellEnd"/>
            <w:r w:rsidRPr="4A046E21">
              <w:rPr>
                <w:rFonts w:ascii="Garamond" w:eastAsia="Garamond" w:hAnsi="Garamond" w:cs="Garamond"/>
                <w:color w:val="000000" w:themeColor="text1"/>
                <w:lang w:val="en-US"/>
              </w:rPr>
              <w:t xml:space="preserve">._the aid, which will take the form of a direct grant of €55 million, will support the construction and installation of a demonstration production facility using 100% renewable </w:t>
            </w:r>
            <w:proofErr w:type="spellStart"/>
            <w:r w:rsidRPr="4A046E21">
              <w:rPr>
                <w:rFonts w:ascii="Garamond" w:eastAsia="Garamond" w:hAnsi="Garamond" w:cs="Garamond"/>
                <w:color w:val="000000" w:themeColor="text1"/>
                <w:lang w:val="en-US"/>
              </w:rPr>
              <w:t>hydrogen._the</w:t>
            </w:r>
            <w:proofErr w:type="spellEnd"/>
            <w:r w:rsidRPr="4A046E21">
              <w:rPr>
                <w:rFonts w:ascii="Garamond" w:eastAsia="Garamond" w:hAnsi="Garamond" w:cs="Garamond"/>
                <w:color w:val="000000" w:themeColor="text1"/>
                <w:lang w:val="en-US"/>
              </w:rPr>
              <w:t xml:space="preserve"> main objective of the project is to apply technology aimed at reducing greenhouse gas emissions in </w:t>
            </w:r>
            <w:proofErr w:type="spellStart"/>
            <w:r w:rsidRPr="4A046E21">
              <w:rPr>
                <w:rFonts w:ascii="Garamond" w:eastAsia="Garamond" w:hAnsi="Garamond" w:cs="Garamond"/>
                <w:color w:val="000000" w:themeColor="text1"/>
                <w:lang w:val="en-US"/>
              </w:rPr>
              <w:t>arcelormittal's</w:t>
            </w:r>
            <w:proofErr w:type="spellEnd"/>
            <w:r w:rsidRPr="4A046E21">
              <w:rPr>
                <w:rFonts w:ascii="Garamond" w:eastAsia="Garamond" w:hAnsi="Garamond" w:cs="Garamond"/>
                <w:color w:val="000000" w:themeColor="text1"/>
                <w:lang w:val="en-US"/>
              </w:rPr>
              <w:t xml:space="preserve"> green steel production processes.</w:t>
            </w:r>
          </w:p>
        </w:tc>
        <w:tc>
          <w:tcPr>
            <w:tcW w:w="516" w:type="pct"/>
            <w:tcMar>
              <w:left w:w="108" w:type="dxa"/>
              <w:bottom w:w="135" w:type="dxa"/>
              <w:right w:w="115" w:type="dxa"/>
            </w:tcMar>
            <w:vAlign w:val="center"/>
          </w:tcPr>
          <w:p w14:paraId="0101219E" w14:textId="77BBFB78"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0A724865" w14:textId="77777777" w:rsidTr="00A32B4F">
        <w:trPr>
          <w:trHeight w:val="615"/>
        </w:trPr>
        <w:tc>
          <w:tcPr>
            <w:tcW w:w="4484" w:type="pct"/>
            <w:tcMar>
              <w:left w:w="108" w:type="dxa"/>
              <w:bottom w:w="135" w:type="dxa"/>
              <w:right w:w="115" w:type="dxa"/>
            </w:tcMar>
            <w:vAlign w:val="bottom"/>
          </w:tcPr>
          <w:p w14:paraId="46E82D07" w14:textId="3ED9C01F"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the </w:t>
            </w:r>
            <w:proofErr w:type="spellStart"/>
            <w:r w:rsidRPr="4A046E21">
              <w:rPr>
                <w:rFonts w:ascii="Garamond" w:eastAsia="Garamond" w:hAnsi="Garamond" w:cs="Garamond"/>
                <w:color w:val="000000" w:themeColor="text1"/>
                <w:lang w:val="en-US"/>
              </w:rPr>
              <w:t>european</w:t>
            </w:r>
            <w:proofErr w:type="spellEnd"/>
            <w:r w:rsidRPr="4A046E21">
              <w:rPr>
                <w:rFonts w:ascii="Garamond" w:eastAsia="Garamond" w:hAnsi="Garamond" w:cs="Garamond"/>
                <w:color w:val="000000" w:themeColor="text1"/>
                <w:lang w:val="en-US"/>
              </w:rPr>
              <w:t xml:space="preserve"> investment bank (</w:t>
            </w:r>
            <w:proofErr w:type="spellStart"/>
            <w:r w:rsidRPr="4A046E21">
              <w:rPr>
                <w:rFonts w:ascii="Garamond" w:eastAsia="Garamond" w:hAnsi="Garamond" w:cs="Garamond"/>
                <w:color w:val="000000" w:themeColor="text1"/>
                <w:lang w:val="en-US"/>
              </w:rPr>
              <w:t>eib</w:t>
            </w:r>
            <w:proofErr w:type="spellEnd"/>
            <w:r w:rsidRPr="4A046E21">
              <w:rPr>
                <w:rFonts w:ascii="Garamond" w:eastAsia="Garamond" w:hAnsi="Garamond" w:cs="Garamond"/>
                <w:color w:val="000000" w:themeColor="text1"/>
                <w:lang w:val="en-US"/>
              </w:rPr>
              <w:t xml:space="preserve">) group is joining forces with banco </w:t>
            </w:r>
            <w:proofErr w:type="spellStart"/>
            <w:r w:rsidRPr="4A046E21">
              <w:rPr>
                <w:rFonts w:ascii="Garamond" w:eastAsia="Garamond" w:hAnsi="Garamond" w:cs="Garamond"/>
                <w:color w:val="000000" w:themeColor="text1"/>
                <w:lang w:val="en-US"/>
              </w:rPr>
              <w:t>sabadell</w:t>
            </w:r>
            <w:proofErr w:type="spellEnd"/>
            <w:r w:rsidRPr="4A046E21">
              <w:rPr>
                <w:rFonts w:ascii="Garamond" w:eastAsia="Garamond" w:hAnsi="Garamond" w:cs="Garamond"/>
                <w:color w:val="000000" w:themeColor="text1"/>
                <w:lang w:val="en-US"/>
              </w:rPr>
              <w:t xml:space="preserve"> to support small and medium-sized enterprises (</w:t>
            </w:r>
            <w:proofErr w:type="spellStart"/>
            <w:r w:rsidRPr="4A046E21">
              <w:rPr>
                <w:rFonts w:ascii="Garamond" w:eastAsia="Garamond" w:hAnsi="Garamond" w:cs="Garamond"/>
                <w:color w:val="000000" w:themeColor="text1"/>
                <w:lang w:val="en-US"/>
              </w:rPr>
              <w:t>smes</w:t>
            </w:r>
            <w:proofErr w:type="spellEnd"/>
            <w:r w:rsidRPr="4A046E21">
              <w:rPr>
                <w:rFonts w:ascii="Garamond" w:eastAsia="Garamond" w:hAnsi="Garamond" w:cs="Garamond"/>
                <w:color w:val="000000" w:themeColor="text1"/>
                <w:lang w:val="en-US"/>
              </w:rPr>
              <w:t xml:space="preserve">) – the businesses most affected by the economic impact of covid-19._with this goal in mind, the </w:t>
            </w:r>
            <w:proofErr w:type="spellStart"/>
            <w:r w:rsidRPr="4A046E21">
              <w:rPr>
                <w:rFonts w:ascii="Garamond" w:eastAsia="Garamond" w:hAnsi="Garamond" w:cs="Garamond"/>
                <w:color w:val="000000" w:themeColor="text1"/>
                <w:lang w:val="en-US"/>
              </w:rPr>
              <w:t>eib</w:t>
            </w:r>
            <w:proofErr w:type="spellEnd"/>
            <w:r w:rsidRPr="4A046E21">
              <w:rPr>
                <w:rFonts w:ascii="Garamond" w:eastAsia="Garamond" w:hAnsi="Garamond" w:cs="Garamond"/>
                <w:color w:val="000000" w:themeColor="text1"/>
                <w:lang w:val="en-US"/>
              </w:rPr>
              <w:t xml:space="preserve"> group – via the </w:t>
            </w:r>
            <w:proofErr w:type="spellStart"/>
            <w:r w:rsidRPr="4A046E21">
              <w:rPr>
                <w:rFonts w:ascii="Garamond" w:eastAsia="Garamond" w:hAnsi="Garamond" w:cs="Garamond"/>
                <w:color w:val="000000" w:themeColor="text1"/>
                <w:lang w:val="en-US"/>
              </w:rPr>
              <w:t>european</w:t>
            </w:r>
            <w:proofErr w:type="spellEnd"/>
            <w:r w:rsidRPr="4A046E21">
              <w:rPr>
                <w:rFonts w:ascii="Garamond" w:eastAsia="Garamond" w:hAnsi="Garamond" w:cs="Garamond"/>
                <w:color w:val="000000" w:themeColor="text1"/>
                <w:lang w:val="en-US"/>
              </w:rPr>
              <w:t xml:space="preserve"> investment fund (</w:t>
            </w:r>
            <w:proofErr w:type="spellStart"/>
            <w:r w:rsidRPr="4A046E21">
              <w:rPr>
                <w:rFonts w:ascii="Garamond" w:eastAsia="Garamond" w:hAnsi="Garamond" w:cs="Garamond"/>
                <w:color w:val="000000" w:themeColor="text1"/>
                <w:lang w:val="en-US"/>
              </w:rPr>
              <w:t>eif</w:t>
            </w:r>
            <w:proofErr w:type="spellEnd"/>
            <w:r w:rsidRPr="4A046E21">
              <w:rPr>
                <w:rFonts w:ascii="Garamond" w:eastAsia="Garamond" w:hAnsi="Garamond" w:cs="Garamond"/>
                <w:color w:val="000000" w:themeColor="text1"/>
                <w:lang w:val="en-US"/>
              </w:rPr>
              <w:t xml:space="preserve">), its subsidiary </w:t>
            </w:r>
            <w:proofErr w:type="spellStart"/>
            <w:r w:rsidRPr="4A046E21">
              <w:rPr>
                <w:rFonts w:ascii="Garamond" w:eastAsia="Garamond" w:hAnsi="Garamond" w:cs="Garamond"/>
                <w:color w:val="000000" w:themeColor="text1"/>
                <w:lang w:val="en-US"/>
              </w:rPr>
              <w:t>specialising</w:t>
            </w:r>
            <w:proofErr w:type="spellEnd"/>
            <w:r w:rsidRPr="4A046E21">
              <w:rPr>
                <w:rFonts w:ascii="Garamond" w:eastAsia="Garamond" w:hAnsi="Garamond" w:cs="Garamond"/>
                <w:color w:val="000000" w:themeColor="text1"/>
                <w:lang w:val="en-US"/>
              </w:rPr>
              <w:t xml:space="preserve"> in venture capital for </w:t>
            </w:r>
            <w:proofErr w:type="spellStart"/>
            <w:r w:rsidRPr="4A046E21">
              <w:rPr>
                <w:rFonts w:ascii="Garamond" w:eastAsia="Garamond" w:hAnsi="Garamond" w:cs="Garamond"/>
                <w:color w:val="000000" w:themeColor="text1"/>
                <w:lang w:val="en-US"/>
              </w:rPr>
              <w:t>smes</w:t>
            </w:r>
            <w:proofErr w:type="spellEnd"/>
            <w:r w:rsidRPr="4A046E21">
              <w:rPr>
                <w:rFonts w:ascii="Garamond" w:eastAsia="Garamond" w:hAnsi="Garamond" w:cs="Garamond"/>
                <w:color w:val="000000" w:themeColor="text1"/>
                <w:lang w:val="en-US"/>
              </w:rPr>
              <w:t xml:space="preserve"> – has granted banco </w:t>
            </w:r>
            <w:proofErr w:type="spellStart"/>
            <w:r w:rsidRPr="4A046E21">
              <w:rPr>
                <w:rFonts w:ascii="Garamond" w:eastAsia="Garamond" w:hAnsi="Garamond" w:cs="Garamond"/>
                <w:color w:val="000000" w:themeColor="text1"/>
                <w:lang w:val="en-US"/>
              </w:rPr>
              <w:t>sabadell</w:t>
            </w:r>
            <w:proofErr w:type="spellEnd"/>
            <w:r w:rsidRPr="4A046E21">
              <w:rPr>
                <w:rFonts w:ascii="Garamond" w:eastAsia="Garamond" w:hAnsi="Garamond" w:cs="Garamond"/>
                <w:color w:val="000000" w:themeColor="text1"/>
                <w:lang w:val="en-US"/>
              </w:rPr>
              <w:t xml:space="preserve"> a €96 million guarantee for a loan </w:t>
            </w:r>
            <w:proofErr w:type="spellStart"/>
            <w:r w:rsidRPr="4A046E21">
              <w:rPr>
                <w:rFonts w:ascii="Garamond" w:eastAsia="Garamond" w:hAnsi="Garamond" w:cs="Garamond"/>
                <w:color w:val="000000" w:themeColor="text1"/>
                <w:lang w:val="en-US"/>
              </w:rPr>
              <w:t>securitisation</w:t>
            </w:r>
            <w:proofErr w:type="spellEnd"/>
            <w:r w:rsidRPr="4A046E21">
              <w:rPr>
                <w:rFonts w:ascii="Garamond" w:eastAsia="Garamond" w:hAnsi="Garamond" w:cs="Garamond"/>
                <w:color w:val="000000" w:themeColor="text1"/>
                <w:lang w:val="en-US"/>
              </w:rPr>
              <w:t xml:space="preserve"> portfolio, which will enable the </w:t>
            </w:r>
            <w:proofErr w:type="spellStart"/>
            <w:r w:rsidRPr="4A046E21">
              <w:rPr>
                <w:rFonts w:ascii="Garamond" w:eastAsia="Garamond" w:hAnsi="Garamond" w:cs="Garamond"/>
                <w:color w:val="000000" w:themeColor="text1"/>
                <w:lang w:val="en-US"/>
              </w:rPr>
              <w:t>spanish</w:t>
            </w:r>
            <w:proofErr w:type="spellEnd"/>
            <w:r w:rsidRPr="4A046E21">
              <w:rPr>
                <w:rFonts w:ascii="Garamond" w:eastAsia="Garamond" w:hAnsi="Garamond" w:cs="Garamond"/>
                <w:color w:val="000000" w:themeColor="text1"/>
                <w:lang w:val="en-US"/>
              </w:rPr>
              <w:t xml:space="preserve"> bank to increase its lending capacity to offer €576 million in financing for the projects of </w:t>
            </w:r>
            <w:proofErr w:type="spellStart"/>
            <w:r w:rsidRPr="4A046E21">
              <w:rPr>
                <w:rFonts w:ascii="Garamond" w:eastAsia="Garamond" w:hAnsi="Garamond" w:cs="Garamond"/>
                <w:color w:val="000000" w:themeColor="text1"/>
                <w:lang w:val="en-US"/>
              </w:rPr>
              <w:t>spanish</w:t>
            </w:r>
            <w:proofErr w:type="spellEnd"/>
            <w:r w:rsidRPr="4A046E21">
              <w:rPr>
                <w:rFonts w:ascii="Garamond" w:eastAsia="Garamond" w:hAnsi="Garamond" w:cs="Garamond"/>
                <w:color w:val="000000" w:themeColor="text1"/>
                <w:lang w:val="en-US"/>
              </w:rPr>
              <w:t xml:space="preserve"> companies, primarily the self-employed, </w:t>
            </w:r>
            <w:proofErr w:type="spellStart"/>
            <w:r w:rsidRPr="4A046E21">
              <w:rPr>
                <w:rFonts w:ascii="Garamond" w:eastAsia="Garamond" w:hAnsi="Garamond" w:cs="Garamond"/>
                <w:color w:val="000000" w:themeColor="text1"/>
                <w:lang w:val="en-US"/>
              </w:rPr>
              <w:t>smes</w:t>
            </w:r>
            <w:proofErr w:type="spellEnd"/>
            <w:r w:rsidRPr="4A046E21">
              <w:rPr>
                <w:rFonts w:ascii="Garamond" w:eastAsia="Garamond" w:hAnsi="Garamond" w:cs="Garamond"/>
                <w:color w:val="000000" w:themeColor="text1"/>
                <w:lang w:val="en-US"/>
              </w:rPr>
              <w:t xml:space="preserve"> and mid-</w:t>
            </w:r>
            <w:proofErr w:type="spellStart"/>
            <w:r w:rsidRPr="4A046E21">
              <w:rPr>
                <w:rFonts w:ascii="Garamond" w:eastAsia="Garamond" w:hAnsi="Garamond" w:cs="Garamond"/>
                <w:color w:val="000000" w:themeColor="text1"/>
                <w:lang w:val="en-US"/>
              </w:rPr>
              <w:t>caps._the</w:t>
            </w:r>
            <w:proofErr w:type="spellEnd"/>
            <w:r w:rsidRPr="4A046E21">
              <w:rPr>
                <w:rFonts w:ascii="Garamond" w:eastAsia="Garamond" w:hAnsi="Garamond" w:cs="Garamond"/>
                <w:color w:val="000000" w:themeColor="text1"/>
                <w:lang w:val="en-US"/>
              </w:rPr>
              <w:t xml:space="preserve"> agreement includes a commitment to direct part of the new banco </w:t>
            </w:r>
            <w:proofErr w:type="spellStart"/>
            <w:r w:rsidRPr="4A046E21">
              <w:rPr>
                <w:rFonts w:ascii="Garamond" w:eastAsia="Garamond" w:hAnsi="Garamond" w:cs="Garamond"/>
                <w:color w:val="000000" w:themeColor="text1"/>
                <w:lang w:val="en-US"/>
              </w:rPr>
              <w:t>sabadell</w:t>
            </w:r>
            <w:proofErr w:type="spellEnd"/>
            <w:r w:rsidRPr="4A046E21">
              <w:rPr>
                <w:rFonts w:ascii="Garamond" w:eastAsia="Garamond" w:hAnsi="Garamond" w:cs="Garamond"/>
                <w:color w:val="000000" w:themeColor="text1"/>
                <w:lang w:val="en-US"/>
              </w:rPr>
              <w:t xml:space="preserve"> financing to investments promoting climate action, which is key to a green recovery following the pandemic.</w:t>
            </w:r>
          </w:p>
        </w:tc>
        <w:tc>
          <w:tcPr>
            <w:tcW w:w="516" w:type="pct"/>
            <w:tcMar>
              <w:left w:w="108" w:type="dxa"/>
              <w:bottom w:w="135" w:type="dxa"/>
              <w:right w:w="115" w:type="dxa"/>
            </w:tcMar>
            <w:vAlign w:val="center"/>
          </w:tcPr>
          <w:p w14:paraId="3187DD90" w14:textId="7CF3792B"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02ECA37E" w14:textId="77777777" w:rsidTr="00A32B4F">
        <w:trPr>
          <w:trHeight w:val="615"/>
        </w:trPr>
        <w:tc>
          <w:tcPr>
            <w:tcW w:w="4484" w:type="pct"/>
            <w:tcMar>
              <w:left w:w="108" w:type="dxa"/>
              <w:bottom w:w="135" w:type="dxa"/>
              <w:right w:w="115" w:type="dxa"/>
            </w:tcMar>
            <w:vAlign w:val="bottom"/>
          </w:tcPr>
          <w:p w14:paraId="424F5E44" w14:textId="5FEF5225"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lastRenderedPageBreak/>
              <w:t xml:space="preserve">we need to create new jobs and thereby give people a new hope  for    the </w:t>
            </w:r>
            <w:proofErr w:type="spellStart"/>
            <w:r w:rsidRPr="4A046E21">
              <w:rPr>
                <w:rFonts w:ascii="Garamond" w:eastAsia="Garamond" w:hAnsi="Garamond" w:cs="Garamond"/>
                <w:color w:val="000000" w:themeColor="text1"/>
                <w:lang w:val="en-US"/>
              </w:rPr>
              <w:t>future._the</w:t>
            </w:r>
            <w:proofErr w:type="spellEnd"/>
            <w:r w:rsidRPr="4A046E21">
              <w:rPr>
                <w:rFonts w:ascii="Garamond" w:eastAsia="Garamond" w:hAnsi="Garamond" w:cs="Garamond"/>
                <w:color w:val="000000" w:themeColor="text1"/>
                <w:lang w:val="en-US"/>
              </w:rPr>
              <w:t xml:space="preserve"> restructuring efforts of the lignite industry in the new </w:t>
            </w:r>
            <w:proofErr w:type="spellStart"/>
            <w:r w:rsidRPr="4A046E21">
              <w:rPr>
                <w:rFonts w:ascii="Garamond" w:eastAsia="Garamond" w:hAnsi="Garamond" w:cs="Garamond"/>
                <w:color w:val="000000" w:themeColor="text1"/>
                <w:lang w:val="en-US"/>
              </w:rPr>
              <w:t>länder</w:t>
            </w:r>
            <w:proofErr w:type="spellEnd"/>
            <w:r w:rsidRPr="4A046E21">
              <w:rPr>
                <w:rFonts w:ascii="Garamond" w:eastAsia="Garamond" w:hAnsi="Garamond" w:cs="Garamond"/>
                <w:color w:val="000000" w:themeColor="text1"/>
                <w:lang w:val="en-US"/>
              </w:rPr>
              <w:t xml:space="preserve">  will    result  in significant gains in competitiveness, to the extent  that  the    commission believes that the </w:t>
            </w:r>
            <w:proofErr w:type="spellStart"/>
            <w:r w:rsidRPr="4A046E21">
              <w:rPr>
                <w:rFonts w:ascii="Garamond" w:eastAsia="Garamond" w:hAnsi="Garamond" w:cs="Garamond"/>
                <w:color w:val="000000" w:themeColor="text1"/>
                <w:lang w:val="en-US"/>
              </w:rPr>
              <w:t>german</w:t>
            </w:r>
            <w:proofErr w:type="spellEnd"/>
            <w:r w:rsidRPr="4A046E21">
              <w:rPr>
                <w:rFonts w:ascii="Garamond" w:eastAsia="Garamond" w:hAnsi="Garamond" w:cs="Garamond"/>
                <w:color w:val="000000" w:themeColor="text1"/>
                <w:lang w:val="en-US"/>
              </w:rPr>
              <w:t xml:space="preserve"> lignite production will be a rational    contributor  to  security of </w:t>
            </w:r>
            <w:proofErr w:type="spellStart"/>
            <w:r w:rsidRPr="4A046E21">
              <w:rPr>
                <w:rFonts w:ascii="Garamond" w:eastAsia="Garamond" w:hAnsi="Garamond" w:cs="Garamond"/>
                <w:color w:val="000000" w:themeColor="text1"/>
                <w:lang w:val="en-US"/>
              </w:rPr>
              <w:t>supply._however</w:t>
            </w:r>
            <w:proofErr w:type="spellEnd"/>
            <w:r w:rsidRPr="4A046E21">
              <w:rPr>
                <w:rFonts w:ascii="Garamond" w:eastAsia="Garamond" w:hAnsi="Garamond" w:cs="Garamond"/>
                <w:color w:val="000000" w:themeColor="text1"/>
                <w:lang w:val="en-US"/>
              </w:rPr>
              <w:t xml:space="preserve">, i have to say  that  there    will  need  to  be  significant improvements in  the  efficiency  of  the    </w:t>
            </w:r>
            <w:proofErr w:type="spellStart"/>
            <w:r w:rsidRPr="4A046E21">
              <w:rPr>
                <w:rFonts w:ascii="Garamond" w:eastAsia="Garamond" w:hAnsi="Garamond" w:cs="Garamond"/>
                <w:color w:val="000000" w:themeColor="text1"/>
                <w:lang w:val="en-US"/>
              </w:rPr>
              <w:t>utilisation</w:t>
            </w:r>
            <w:proofErr w:type="spellEnd"/>
            <w:r w:rsidRPr="4A046E21">
              <w:rPr>
                <w:rFonts w:ascii="Garamond" w:eastAsia="Garamond" w:hAnsi="Garamond" w:cs="Garamond"/>
                <w:color w:val="000000" w:themeColor="text1"/>
                <w:lang w:val="en-US"/>
              </w:rPr>
              <w:t xml:space="preserve">  of  this fuel and more efforts to  keep  it  environmentally    acceptable.</w:t>
            </w:r>
          </w:p>
        </w:tc>
        <w:tc>
          <w:tcPr>
            <w:tcW w:w="516" w:type="pct"/>
            <w:tcMar>
              <w:left w:w="108" w:type="dxa"/>
              <w:bottom w:w="135" w:type="dxa"/>
              <w:right w:w="115" w:type="dxa"/>
            </w:tcMar>
            <w:vAlign w:val="center"/>
          </w:tcPr>
          <w:p w14:paraId="0257D9E9" w14:textId="0A9D2B8B"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62C25FD4" w14:textId="77777777" w:rsidTr="00A32B4F">
        <w:trPr>
          <w:trHeight w:val="615"/>
        </w:trPr>
        <w:tc>
          <w:tcPr>
            <w:tcW w:w="4484" w:type="pct"/>
            <w:tcMar>
              <w:left w:w="108" w:type="dxa"/>
              <w:bottom w:w="135" w:type="dxa"/>
              <w:right w:w="115" w:type="dxa"/>
            </w:tcMar>
            <w:vAlign w:val="bottom"/>
          </w:tcPr>
          <w:p w14:paraId="338AAFA9" w14:textId="1865A8F0"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the centre and the network will pool resources from the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its member states and the industry to improve and strengthen technology and industrial cybersecurity capacities, enhancing the </w:t>
            </w:r>
            <w:proofErr w:type="spellStart"/>
            <w:r w:rsidRPr="4A046E21">
              <w:rPr>
                <w:rFonts w:ascii="Garamond" w:eastAsia="Garamond" w:hAnsi="Garamond" w:cs="Garamond"/>
                <w:color w:val="000000" w:themeColor="text1"/>
                <w:lang w:val="en-US"/>
              </w:rPr>
              <w:t>eu's</w:t>
            </w:r>
            <w:proofErr w:type="spellEnd"/>
            <w:r w:rsidRPr="4A046E21">
              <w:rPr>
                <w:rFonts w:ascii="Garamond" w:eastAsia="Garamond" w:hAnsi="Garamond" w:cs="Garamond"/>
                <w:color w:val="000000" w:themeColor="text1"/>
                <w:lang w:val="en-US"/>
              </w:rPr>
              <w:t xml:space="preserve"> open strategic </w:t>
            </w:r>
            <w:proofErr w:type="spellStart"/>
            <w:r w:rsidRPr="4A046E21">
              <w:rPr>
                <w:rFonts w:ascii="Garamond" w:eastAsia="Garamond" w:hAnsi="Garamond" w:cs="Garamond"/>
                <w:color w:val="000000" w:themeColor="text1"/>
                <w:lang w:val="en-US"/>
              </w:rPr>
              <w:t>autonomy._by</w:t>
            </w:r>
            <w:proofErr w:type="spellEnd"/>
            <w:r w:rsidRPr="4A046E21">
              <w:rPr>
                <w:rFonts w:ascii="Garamond" w:eastAsia="Garamond" w:hAnsi="Garamond" w:cs="Garamond"/>
                <w:color w:val="000000" w:themeColor="text1"/>
                <w:lang w:val="en-US"/>
              </w:rPr>
              <w:t xml:space="preserve"> managing the cybersecurity funds under the next long-term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budget, the centre will source funding from the digital </w:t>
            </w:r>
            <w:proofErr w:type="spellStart"/>
            <w:r w:rsidRPr="4A046E21">
              <w:rPr>
                <w:rFonts w:ascii="Garamond" w:eastAsia="Garamond" w:hAnsi="Garamond" w:cs="Garamond"/>
                <w:color w:val="000000" w:themeColor="text1"/>
                <w:lang w:val="en-US"/>
              </w:rPr>
              <w:t>europe</w:t>
            </w:r>
            <w:proofErr w:type="spellEnd"/>
            <w:r w:rsidRPr="4A046E21">
              <w:rPr>
                <w:rFonts w:ascii="Garamond" w:eastAsia="Garamond" w:hAnsi="Garamond" w:cs="Garamond"/>
                <w:color w:val="000000" w:themeColor="text1"/>
                <w:lang w:val="en-US"/>
              </w:rPr>
              <w:t xml:space="preserve"> </w:t>
            </w:r>
            <w:proofErr w:type="spellStart"/>
            <w:r w:rsidRPr="4A046E21">
              <w:rPr>
                <w:rFonts w:ascii="Garamond" w:eastAsia="Garamond" w:hAnsi="Garamond" w:cs="Garamond"/>
                <w:color w:val="000000" w:themeColor="text1"/>
                <w:lang w:val="en-US"/>
              </w:rPr>
              <w:t>programme</w:t>
            </w:r>
            <w:proofErr w:type="spellEnd"/>
            <w:r w:rsidRPr="4A046E21">
              <w:rPr>
                <w:rFonts w:ascii="Garamond" w:eastAsia="Garamond" w:hAnsi="Garamond" w:cs="Garamond"/>
                <w:color w:val="000000" w:themeColor="text1"/>
                <w:lang w:val="en-US"/>
              </w:rPr>
              <w:t xml:space="preserve"> and horizon </w:t>
            </w:r>
            <w:proofErr w:type="spellStart"/>
            <w:r w:rsidRPr="4A046E21">
              <w:rPr>
                <w:rFonts w:ascii="Garamond" w:eastAsia="Garamond" w:hAnsi="Garamond" w:cs="Garamond"/>
                <w:color w:val="000000" w:themeColor="text1"/>
                <w:lang w:val="en-US"/>
              </w:rPr>
              <w:t>europe</w:t>
            </w:r>
            <w:proofErr w:type="spellEnd"/>
            <w:r w:rsidRPr="4A046E21">
              <w:rPr>
                <w:rFonts w:ascii="Garamond" w:eastAsia="Garamond" w:hAnsi="Garamond" w:cs="Garamond"/>
                <w:color w:val="000000" w:themeColor="text1"/>
                <w:lang w:val="en-US"/>
              </w:rPr>
              <w:t>, as well as contributions from member states._</w:t>
            </w:r>
            <w:proofErr w:type="spellStart"/>
            <w:r w:rsidRPr="4A046E21">
              <w:rPr>
                <w:rFonts w:ascii="Garamond" w:eastAsia="Garamond" w:hAnsi="Garamond" w:cs="Garamond"/>
                <w:color w:val="000000" w:themeColor="text1"/>
                <w:lang w:val="en-US"/>
              </w:rPr>
              <w:t>margrethe</w:t>
            </w:r>
            <w:proofErr w:type="spellEnd"/>
            <w:r w:rsidRPr="4A046E21">
              <w:rPr>
                <w:rFonts w:ascii="Garamond" w:eastAsia="Garamond" w:hAnsi="Garamond" w:cs="Garamond"/>
                <w:color w:val="000000" w:themeColor="text1"/>
                <w:lang w:val="en-US"/>
              </w:rPr>
              <w:t xml:space="preserve"> </w:t>
            </w:r>
            <w:proofErr w:type="spellStart"/>
            <w:r w:rsidRPr="4A046E21">
              <w:rPr>
                <w:rFonts w:ascii="Garamond" w:eastAsia="Garamond" w:hAnsi="Garamond" w:cs="Garamond"/>
                <w:color w:val="000000" w:themeColor="text1"/>
                <w:lang w:val="en-US"/>
              </w:rPr>
              <w:t>vestager</w:t>
            </w:r>
            <w:proofErr w:type="spellEnd"/>
            <w:r w:rsidRPr="4A046E21">
              <w:rPr>
                <w:rFonts w:ascii="Garamond" w:eastAsia="Garamond" w:hAnsi="Garamond" w:cs="Garamond"/>
                <w:color w:val="000000" w:themeColor="text1"/>
                <w:lang w:val="en-US"/>
              </w:rPr>
              <w:t xml:space="preserve">, executive vice-president for a </w:t>
            </w:r>
            <w:proofErr w:type="spellStart"/>
            <w:r w:rsidRPr="4A046E21">
              <w:rPr>
                <w:rFonts w:ascii="Garamond" w:eastAsia="Garamond" w:hAnsi="Garamond" w:cs="Garamond"/>
                <w:color w:val="000000" w:themeColor="text1"/>
                <w:lang w:val="en-US"/>
              </w:rPr>
              <w:t>europe</w:t>
            </w:r>
            <w:proofErr w:type="spellEnd"/>
            <w:r w:rsidRPr="4A046E21">
              <w:rPr>
                <w:rFonts w:ascii="Garamond" w:eastAsia="Garamond" w:hAnsi="Garamond" w:cs="Garamond"/>
                <w:color w:val="000000" w:themeColor="text1"/>
                <w:lang w:val="en-US"/>
              </w:rPr>
              <w:t xml:space="preserve"> fit for the digital age, said: "if we want people and businesses to make the most of digital services, they need to trust them.</w:t>
            </w:r>
          </w:p>
        </w:tc>
        <w:tc>
          <w:tcPr>
            <w:tcW w:w="516" w:type="pct"/>
            <w:tcMar>
              <w:left w:w="108" w:type="dxa"/>
              <w:bottom w:w="135" w:type="dxa"/>
              <w:right w:w="115" w:type="dxa"/>
            </w:tcMar>
            <w:vAlign w:val="center"/>
          </w:tcPr>
          <w:p w14:paraId="2ECC469F" w14:textId="34254D45"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397C99B3" w14:textId="77777777" w:rsidTr="00A32B4F">
        <w:trPr>
          <w:trHeight w:val="615"/>
        </w:trPr>
        <w:tc>
          <w:tcPr>
            <w:tcW w:w="4484" w:type="pct"/>
            <w:tcMar>
              <w:left w:w="108" w:type="dxa"/>
              <w:bottom w:w="135" w:type="dxa"/>
              <w:right w:w="115" w:type="dxa"/>
            </w:tcMar>
            <w:vAlign w:val="bottom"/>
          </w:tcPr>
          <w:p w14:paraId="3E51C8F8" w14:textId="6C3EBE1E"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other key areas / technologies (beyond energy storage) should benefit from this collaborative approach: cleantech, the circular economy, 5g, </w:t>
            </w:r>
            <w:proofErr w:type="spellStart"/>
            <w:r w:rsidRPr="4A046E21">
              <w:rPr>
                <w:rFonts w:ascii="Garamond" w:eastAsia="Garamond" w:hAnsi="Garamond" w:cs="Garamond"/>
                <w:color w:val="000000" w:themeColor="text1"/>
                <w:lang w:val="en-US"/>
              </w:rPr>
              <w:t>iot</w:t>
            </w:r>
            <w:proofErr w:type="spellEnd"/>
            <w:r w:rsidRPr="4A046E21">
              <w:rPr>
                <w:rFonts w:ascii="Garamond" w:eastAsia="Garamond" w:hAnsi="Garamond" w:cs="Garamond"/>
                <w:color w:val="000000" w:themeColor="text1"/>
                <w:lang w:val="en-US"/>
              </w:rPr>
              <w:t xml:space="preserve">, supercomputing, 3d (metal) printing, to name but a </w:t>
            </w:r>
            <w:proofErr w:type="spellStart"/>
            <w:r w:rsidRPr="4A046E21">
              <w:rPr>
                <w:rFonts w:ascii="Garamond" w:eastAsia="Garamond" w:hAnsi="Garamond" w:cs="Garamond"/>
                <w:color w:val="000000" w:themeColor="text1"/>
                <w:lang w:val="en-US"/>
              </w:rPr>
              <w:t>few._focusing</w:t>
            </w:r>
            <w:proofErr w:type="spellEnd"/>
            <w:r w:rsidRPr="4A046E21">
              <w:rPr>
                <w:rFonts w:ascii="Garamond" w:eastAsia="Garamond" w:hAnsi="Garamond" w:cs="Garamond"/>
                <w:color w:val="000000" w:themeColor="text1"/>
                <w:lang w:val="en-US"/>
              </w:rPr>
              <w:t xml:space="preserve"> on scaling up support for high-risk projects within the next </w:t>
            </w:r>
            <w:proofErr w:type="spellStart"/>
            <w:r w:rsidRPr="4A046E21">
              <w:rPr>
                <w:rFonts w:ascii="Garamond" w:eastAsia="Garamond" w:hAnsi="Garamond" w:cs="Garamond"/>
                <w:color w:val="000000" w:themeColor="text1"/>
                <w:lang w:val="en-US"/>
              </w:rPr>
              <w:t>mff</w:t>
            </w:r>
            <w:proofErr w:type="spellEnd"/>
            <w:r w:rsidRPr="4A046E21">
              <w:rPr>
                <w:rFonts w:ascii="Garamond" w:eastAsia="Garamond" w:hAnsi="Garamond" w:cs="Garamond"/>
                <w:color w:val="000000" w:themeColor="text1"/>
                <w:lang w:val="en-US"/>
              </w:rPr>
              <w:t xml:space="preserve"> we are looking forward to continuing our work with the </w:t>
            </w:r>
            <w:proofErr w:type="spellStart"/>
            <w:r w:rsidRPr="4A046E21">
              <w:rPr>
                <w:rFonts w:ascii="Garamond" w:eastAsia="Garamond" w:hAnsi="Garamond" w:cs="Garamond"/>
                <w:color w:val="000000" w:themeColor="text1"/>
                <w:lang w:val="en-US"/>
              </w:rPr>
              <w:t>eib</w:t>
            </w:r>
            <w:proofErr w:type="spellEnd"/>
            <w:r w:rsidRPr="4A046E21">
              <w:rPr>
                <w:rFonts w:ascii="Garamond" w:eastAsia="Garamond" w:hAnsi="Garamond" w:cs="Garamond"/>
                <w:color w:val="000000" w:themeColor="text1"/>
                <w:lang w:val="en-US"/>
              </w:rPr>
              <w:t xml:space="preserve"> as our strategic partner to roll out our investment </w:t>
            </w:r>
            <w:proofErr w:type="spellStart"/>
            <w:r w:rsidRPr="4A046E21">
              <w:rPr>
                <w:rFonts w:ascii="Garamond" w:eastAsia="Garamond" w:hAnsi="Garamond" w:cs="Garamond"/>
                <w:color w:val="000000" w:themeColor="text1"/>
                <w:lang w:val="en-US"/>
              </w:rPr>
              <w:t>programme</w:t>
            </w:r>
            <w:proofErr w:type="spellEnd"/>
            <w:r w:rsidRPr="4A046E21">
              <w:rPr>
                <w:rFonts w:ascii="Garamond" w:eastAsia="Garamond" w:hAnsi="Garamond" w:cs="Garamond"/>
                <w:color w:val="000000" w:themeColor="text1"/>
                <w:lang w:val="en-US"/>
              </w:rPr>
              <w:t xml:space="preserve"> through: </w:t>
            </w:r>
            <w:proofErr w:type="spellStart"/>
            <w:r w:rsidRPr="4A046E21">
              <w:rPr>
                <w:rFonts w:ascii="Garamond" w:eastAsia="Garamond" w:hAnsi="Garamond" w:cs="Garamond"/>
                <w:color w:val="000000" w:themeColor="text1"/>
                <w:lang w:val="en-US"/>
              </w:rPr>
              <w:t>investeu</w:t>
            </w:r>
            <w:proofErr w:type="spellEnd"/>
            <w:r w:rsidRPr="4A046E21">
              <w:rPr>
                <w:rFonts w:ascii="Garamond" w:eastAsia="Garamond" w:hAnsi="Garamond" w:cs="Garamond"/>
                <w:color w:val="000000" w:themeColor="text1"/>
                <w:lang w:val="en-US"/>
              </w:rPr>
              <w:t xml:space="preserve"> and other instruments such as the innovation fund and the </w:t>
            </w:r>
            <w:proofErr w:type="spellStart"/>
            <w:r w:rsidRPr="4A046E21">
              <w:rPr>
                <w:rFonts w:ascii="Garamond" w:eastAsia="Garamond" w:hAnsi="Garamond" w:cs="Garamond"/>
                <w:color w:val="000000" w:themeColor="text1"/>
                <w:lang w:val="en-US"/>
              </w:rPr>
              <w:t>european</w:t>
            </w:r>
            <w:proofErr w:type="spellEnd"/>
            <w:r w:rsidRPr="4A046E21">
              <w:rPr>
                <w:rFonts w:ascii="Garamond" w:eastAsia="Garamond" w:hAnsi="Garamond" w:cs="Garamond"/>
                <w:color w:val="000000" w:themeColor="text1"/>
                <w:lang w:val="en-US"/>
              </w:rPr>
              <w:t xml:space="preserve"> innovation </w:t>
            </w:r>
            <w:proofErr w:type="spellStart"/>
            <w:r w:rsidRPr="4A046E21">
              <w:rPr>
                <w:rFonts w:ascii="Garamond" w:eastAsia="Garamond" w:hAnsi="Garamond" w:cs="Garamond"/>
                <w:color w:val="000000" w:themeColor="text1"/>
                <w:lang w:val="en-US"/>
              </w:rPr>
              <w:t>council._it</w:t>
            </w:r>
            <w:proofErr w:type="spellEnd"/>
            <w:r w:rsidRPr="4A046E21">
              <w:rPr>
                <w:rFonts w:ascii="Garamond" w:eastAsia="Garamond" w:hAnsi="Garamond" w:cs="Garamond"/>
                <w:color w:val="000000" w:themeColor="text1"/>
                <w:lang w:val="en-US"/>
              </w:rPr>
              <w:t xml:space="preserve"> is of utmost importance that we not only cover a strategic range of sectors but also the entire innovation cycle, from research and development to demonstration operations, the transfer and scale-up of innovation results to the market.</w:t>
            </w:r>
          </w:p>
        </w:tc>
        <w:tc>
          <w:tcPr>
            <w:tcW w:w="516" w:type="pct"/>
            <w:tcMar>
              <w:left w:w="108" w:type="dxa"/>
              <w:bottom w:w="135" w:type="dxa"/>
              <w:right w:w="115" w:type="dxa"/>
            </w:tcMar>
            <w:vAlign w:val="center"/>
          </w:tcPr>
          <w:p w14:paraId="6F465947" w14:textId="009CF4DE"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36AF50DA" w14:textId="77777777" w:rsidTr="00A32B4F">
        <w:trPr>
          <w:trHeight w:val="615"/>
        </w:trPr>
        <w:tc>
          <w:tcPr>
            <w:tcW w:w="4484" w:type="pct"/>
            <w:tcMar>
              <w:left w:w="108" w:type="dxa"/>
              <w:bottom w:w="135" w:type="dxa"/>
              <w:right w:w="115" w:type="dxa"/>
            </w:tcMar>
            <w:vAlign w:val="bottom"/>
          </w:tcPr>
          <w:p w14:paraId="2D7479C5" w14:textId="6BC0AA7C" w:rsidR="4A046E21" w:rsidRDefault="4A046E21" w:rsidP="4A046E21">
            <w:pPr>
              <w:spacing w:line="257" w:lineRule="auto"/>
              <w:rPr>
                <w:rFonts w:ascii="Garamond" w:eastAsia="Garamond" w:hAnsi="Garamond" w:cs="Garamond"/>
                <w:color w:val="000000" w:themeColor="text1"/>
                <w:sz w:val="28"/>
                <w:szCs w:val="28"/>
                <w:lang w:val="en-US"/>
              </w:rPr>
            </w:pPr>
            <w:proofErr w:type="spellStart"/>
            <w:r w:rsidRPr="4A046E21">
              <w:rPr>
                <w:rFonts w:ascii="Garamond" w:eastAsia="Garamond" w:hAnsi="Garamond" w:cs="Garamond"/>
                <w:color w:val="000000" w:themeColor="text1"/>
                <w:lang w:val="en-US"/>
              </w:rPr>
              <w:t>NA_the</w:t>
            </w:r>
            <w:proofErr w:type="spellEnd"/>
            <w:r w:rsidRPr="4A046E21">
              <w:rPr>
                <w:rFonts w:ascii="Garamond" w:eastAsia="Garamond" w:hAnsi="Garamond" w:cs="Garamond"/>
                <w:color w:val="000000" w:themeColor="text1"/>
                <w:lang w:val="en-US"/>
              </w:rPr>
              <w:t xml:space="preserve"> </w:t>
            </w:r>
            <w:proofErr w:type="spellStart"/>
            <w:r w:rsidRPr="4A046E21">
              <w:rPr>
                <w:rFonts w:ascii="Garamond" w:eastAsia="Garamond" w:hAnsi="Garamond" w:cs="Garamond"/>
                <w:color w:val="000000" w:themeColor="text1"/>
                <w:lang w:val="en-US"/>
              </w:rPr>
              <w:t>european</w:t>
            </w:r>
            <w:proofErr w:type="spellEnd"/>
            <w:r w:rsidRPr="4A046E21">
              <w:rPr>
                <w:rFonts w:ascii="Garamond" w:eastAsia="Garamond" w:hAnsi="Garamond" w:cs="Garamond"/>
                <w:color w:val="000000" w:themeColor="text1"/>
                <w:lang w:val="en-US"/>
              </w:rPr>
              <w:t xml:space="preserve"> commission has approved, under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state aid rules, a €259 million </w:t>
            </w:r>
            <w:proofErr w:type="spellStart"/>
            <w:r w:rsidRPr="4A046E21">
              <w:rPr>
                <w:rFonts w:ascii="Garamond" w:eastAsia="Garamond" w:hAnsi="Garamond" w:cs="Garamond"/>
                <w:color w:val="000000" w:themeColor="text1"/>
                <w:lang w:val="en-US"/>
              </w:rPr>
              <w:t>romanian</w:t>
            </w:r>
            <w:proofErr w:type="spellEnd"/>
            <w:r w:rsidRPr="4A046E21">
              <w:rPr>
                <w:rFonts w:ascii="Garamond" w:eastAsia="Garamond" w:hAnsi="Garamond" w:cs="Garamond"/>
                <w:color w:val="000000" w:themeColor="text1"/>
                <w:lang w:val="en-US"/>
              </w:rPr>
              <w:t xml:space="preserve"> scheme, made available in part through the recovery and resilience facility (‘</w:t>
            </w:r>
            <w:proofErr w:type="spellStart"/>
            <w:r w:rsidRPr="4A046E21">
              <w:rPr>
                <w:rFonts w:ascii="Garamond" w:eastAsia="Garamond" w:hAnsi="Garamond" w:cs="Garamond"/>
                <w:color w:val="000000" w:themeColor="text1"/>
                <w:lang w:val="en-US"/>
              </w:rPr>
              <w:t>rrf</w:t>
            </w:r>
            <w:proofErr w:type="spellEnd"/>
            <w:r w:rsidRPr="4A046E21">
              <w:rPr>
                <w:rFonts w:ascii="Garamond" w:eastAsia="Garamond" w:hAnsi="Garamond" w:cs="Garamond"/>
                <w:color w:val="000000" w:themeColor="text1"/>
                <w:lang w:val="en-US"/>
              </w:rPr>
              <w:t xml:space="preserve">'), to support investments in the production, assembly and recycling of batteries, of photovoltaic cells and of </w:t>
            </w:r>
            <w:proofErr w:type="spellStart"/>
            <w:r w:rsidRPr="4A046E21">
              <w:rPr>
                <w:rFonts w:ascii="Garamond" w:eastAsia="Garamond" w:hAnsi="Garamond" w:cs="Garamond"/>
                <w:color w:val="000000" w:themeColor="text1"/>
                <w:lang w:val="en-US"/>
              </w:rPr>
              <w:t>panels._the</w:t>
            </w:r>
            <w:proofErr w:type="spellEnd"/>
            <w:r w:rsidRPr="4A046E21">
              <w:rPr>
                <w:rFonts w:ascii="Garamond" w:eastAsia="Garamond" w:hAnsi="Garamond" w:cs="Garamond"/>
                <w:color w:val="000000" w:themeColor="text1"/>
                <w:lang w:val="en-US"/>
              </w:rPr>
              <w:t xml:space="preserve"> scheme aims at supporting </w:t>
            </w:r>
            <w:proofErr w:type="spellStart"/>
            <w:r w:rsidRPr="4A046E21">
              <w:rPr>
                <w:rFonts w:ascii="Garamond" w:eastAsia="Garamond" w:hAnsi="Garamond" w:cs="Garamond"/>
                <w:color w:val="000000" w:themeColor="text1"/>
                <w:lang w:val="en-US"/>
              </w:rPr>
              <w:t>romania's</w:t>
            </w:r>
            <w:proofErr w:type="spellEnd"/>
            <w:r w:rsidRPr="4A046E21">
              <w:rPr>
                <w:rFonts w:ascii="Garamond" w:eastAsia="Garamond" w:hAnsi="Garamond" w:cs="Garamond"/>
                <w:color w:val="000000" w:themeColor="text1"/>
                <w:lang w:val="en-US"/>
              </w:rPr>
              <w:t xml:space="preserve"> regional development and fostering the </w:t>
            </w:r>
            <w:proofErr w:type="spellStart"/>
            <w:r w:rsidRPr="4A046E21">
              <w:rPr>
                <w:rFonts w:ascii="Garamond" w:eastAsia="Garamond" w:hAnsi="Garamond" w:cs="Garamond"/>
                <w:color w:val="000000" w:themeColor="text1"/>
                <w:lang w:val="en-US"/>
              </w:rPr>
              <w:t>eu's</w:t>
            </w:r>
            <w:proofErr w:type="spellEnd"/>
            <w:r w:rsidRPr="4A046E21">
              <w:rPr>
                <w:rFonts w:ascii="Garamond" w:eastAsia="Garamond" w:hAnsi="Garamond" w:cs="Garamond"/>
                <w:color w:val="000000" w:themeColor="text1"/>
                <w:lang w:val="en-US"/>
              </w:rPr>
              <w:t xml:space="preserve"> strategic objectives relating to the green transition.</w:t>
            </w:r>
          </w:p>
        </w:tc>
        <w:tc>
          <w:tcPr>
            <w:tcW w:w="516" w:type="pct"/>
            <w:tcMar>
              <w:left w:w="108" w:type="dxa"/>
              <w:bottom w:w="135" w:type="dxa"/>
              <w:right w:w="115" w:type="dxa"/>
            </w:tcMar>
            <w:vAlign w:val="center"/>
          </w:tcPr>
          <w:p w14:paraId="7D6F4CA1" w14:textId="23ED9E29"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61AF89DD" w14:textId="77777777" w:rsidTr="00A32B4F">
        <w:trPr>
          <w:trHeight w:val="615"/>
        </w:trPr>
        <w:tc>
          <w:tcPr>
            <w:tcW w:w="4484" w:type="pct"/>
            <w:tcMar>
              <w:left w:w="108" w:type="dxa"/>
              <w:bottom w:w="135" w:type="dxa"/>
              <w:right w:w="115" w:type="dxa"/>
            </w:tcMar>
            <w:vAlign w:val="bottom"/>
          </w:tcPr>
          <w:p w14:paraId="4D1DB035" w14:textId="2DFB87B1"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under horizon 2020, for example, a €650 million initiative called 'industry 2020 in the circular economy' will support innovative, large-scale demonstration </w:t>
            </w:r>
            <w:proofErr w:type="spellStart"/>
            <w:r w:rsidRPr="4A046E21">
              <w:rPr>
                <w:rFonts w:ascii="Garamond" w:eastAsia="Garamond" w:hAnsi="Garamond" w:cs="Garamond"/>
                <w:color w:val="000000" w:themeColor="text1"/>
                <w:lang w:val="en-US"/>
              </w:rPr>
              <w:t>projects._we</w:t>
            </w:r>
            <w:proofErr w:type="spellEnd"/>
            <w:r w:rsidRPr="4A046E21">
              <w:rPr>
                <w:rFonts w:ascii="Garamond" w:eastAsia="Garamond" w:hAnsi="Garamond" w:cs="Garamond"/>
                <w:color w:val="000000" w:themeColor="text1"/>
                <w:lang w:val="en-US"/>
              </w:rPr>
              <w:t xml:space="preserve"> need to channel private sector funding towards these new opportunities.one very important support and funding tool is the </w:t>
            </w:r>
            <w:proofErr w:type="spellStart"/>
            <w:r w:rsidRPr="4A046E21">
              <w:rPr>
                <w:rFonts w:ascii="Garamond" w:eastAsia="Garamond" w:hAnsi="Garamond" w:cs="Garamond"/>
                <w:color w:val="000000" w:themeColor="text1"/>
                <w:lang w:val="en-US"/>
              </w:rPr>
              <w:t>european</w:t>
            </w:r>
            <w:proofErr w:type="spellEnd"/>
            <w:r w:rsidRPr="4A046E21">
              <w:rPr>
                <w:rFonts w:ascii="Garamond" w:eastAsia="Garamond" w:hAnsi="Garamond" w:cs="Garamond"/>
                <w:color w:val="000000" w:themeColor="text1"/>
                <w:lang w:val="en-US"/>
              </w:rPr>
              <w:t xml:space="preserve"> fund for strategic investments (</w:t>
            </w:r>
            <w:proofErr w:type="spellStart"/>
            <w:r w:rsidRPr="4A046E21">
              <w:rPr>
                <w:rFonts w:ascii="Garamond" w:eastAsia="Garamond" w:hAnsi="Garamond" w:cs="Garamond"/>
                <w:color w:val="000000" w:themeColor="text1"/>
                <w:lang w:val="en-US"/>
              </w:rPr>
              <w:t>efsi</w:t>
            </w:r>
            <w:proofErr w:type="spellEnd"/>
            <w:r w:rsidRPr="4A046E21">
              <w:rPr>
                <w:rFonts w:ascii="Garamond" w:eastAsia="Garamond" w:hAnsi="Garamond" w:cs="Garamond"/>
                <w:color w:val="000000" w:themeColor="text1"/>
                <w:lang w:val="en-US"/>
              </w:rPr>
              <w:t>)._especially in areas where commercial banking is still hesitant to get involved.</w:t>
            </w:r>
          </w:p>
        </w:tc>
        <w:tc>
          <w:tcPr>
            <w:tcW w:w="516" w:type="pct"/>
            <w:tcMar>
              <w:left w:w="108" w:type="dxa"/>
              <w:bottom w:w="135" w:type="dxa"/>
              <w:right w:w="115" w:type="dxa"/>
            </w:tcMar>
            <w:vAlign w:val="center"/>
          </w:tcPr>
          <w:p w14:paraId="5240DD99" w14:textId="6F467570"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4212B82A" w14:textId="77777777" w:rsidTr="00A32B4F">
        <w:trPr>
          <w:trHeight w:val="615"/>
        </w:trPr>
        <w:tc>
          <w:tcPr>
            <w:tcW w:w="4484" w:type="pct"/>
            <w:tcMar>
              <w:left w:w="108" w:type="dxa"/>
              <w:bottom w:w="135" w:type="dxa"/>
              <w:right w:w="115" w:type="dxa"/>
            </w:tcMar>
            <w:vAlign w:val="bottom"/>
          </w:tcPr>
          <w:p w14:paraId="376C9CE8" w14:textId="0A6C29F4" w:rsidR="4A046E21" w:rsidRDefault="4A046E21" w:rsidP="4A046E21">
            <w:pPr>
              <w:spacing w:line="257" w:lineRule="auto"/>
              <w:rPr>
                <w:rFonts w:ascii="Garamond" w:eastAsia="Garamond" w:hAnsi="Garamond" w:cs="Garamond"/>
                <w:color w:val="000000" w:themeColor="text1"/>
                <w:sz w:val="28"/>
                <w:szCs w:val="28"/>
                <w:lang w:val="en-US"/>
              </w:rPr>
            </w:pPr>
            <w:proofErr w:type="spellStart"/>
            <w:r w:rsidRPr="4A046E21">
              <w:rPr>
                <w:rFonts w:ascii="Garamond" w:eastAsia="Garamond" w:hAnsi="Garamond" w:cs="Garamond"/>
                <w:color w:val="000000" w:themeColor="text1"/>
                <w:lang w:val="en-US"/>
              </w:rPr>
              <w:lastRenderedPageBreak/>
              <w:t>NA_european</w:t>
            </w:r>
            <w:proofErr w:type="spellEnd"/>
            <w:r w:rsidRPr="4A046E21">
              <w:rPr>
                <w:rFonts w:ascii="Garamond" w:eastAsia="Garamond" w:hAnsi="Garamond" w:cs="Garamond"/>
                <w:color w:val="000000" w:themeColor="text1"/>
                <w:lang w:val="en-US"/>
              </w:rPr>
              <w:t xml:space="preserve"> commission press release brussels, 19 </w:t>
            </w:r>
            <w:proofErr w:type="spellStart"/>
            <w:r w:rsidRPr="4A046E21">
              <w:rPr>
                <w:rFonts w:ascii="Garamond" w:eastAsia="Garamond" w:hAnsi="Garamond" w:cs="Garamond"/>
                <w:color w:val="000000" w:themeColor="text1"/>
                <w:lang w:val="en-US"/>
              </w:rPr>
              <w:t>november</w:t>
            </w:r>
            <w:proofErr w:type="spellEnd"/>
            <w:r w:rsidRPr="4A046E21">
              <w:rPr>
                <w:rFonts w:ascii="Garamond" w:eastAsia="Garamond" w:hAnsi="Garamond" w:cs="Garamond"/>
                <w:color w:val="000000" w:themeColor="text1"/>
                <w:lang w:val="en-US"/>
              </w:rPr>
              <w:t xml:space="preserve"> 2012 digital agenda: tech </w:t>
            </w:r>
            <w:proofErr w:type="spellStart"/>
            <w:r w:rsidRPr="4A046E21">
              <w:rPr>
                <w:rFonts w:ascii="Garamond" w:eastAsia="Garamond" w:hAnsi="Garamond" w:cs="Garamond"/>
                <w:color w:val="000000" w:themeColor="text1"/>
                <w:lang w:val="en-US"/>
              </w:rPr>
              <w:t>ceos</w:t>
            </w:r>
            <w:proofErr w:type="spellEnd"/>
            <w:r w:rsidRPr="4A046E21">
              <w:rPr>
                <w:rFonts w:ascii="Garamond" w:eastAsia="Garamond" w:hAnsi="Garamond" w:cs="Garamond"/>
                <w:color w:val="000000" w:themeColor="text1"/>
                <w:lang w:val="en-US"/>
              </w:rPr>
              <w:t xml:space="preserve"> and leaders kickstart new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cloud computing board  the steering board of the new </w:t>
            </w:r>
            <w:proofErr w:type="spellStart"/>
            <w:r w:rsidRPr="4A046E21">
              <w:rPr>
                <w:rFonts w:ascii="Garamond" w:eastAsia="Garamond" w:hAnsi="Garamond" w:cs="Garamond"/>
                <w:color w:val="000000" w:themeColor="text1"/>
                <w:lang w:val="en-US"/>
              </w:rPr>
              <w:t>european</w:t>
            </w:r>
            <w:proofErr w:type="spellEnd"/>
            <w:r w:rsidRPr="4A046E21">
              <w:rPr>
                <w:rFonts w:ascii="Garamond" w:eastAsia="Garamond" w:hAnsi="Garamond" w:cs="Garamond"/>
                <w:color w:val="000000" w:themeColor="text1"/>
                <w:lang w:val="en-US"/>
              </w:rPr>
              <w:t xml:space="preserve"> cloud partnership (</w:t>
            </w:r>
            <w:proofErr w:type="spellStart"/>
            <w:r w:rsidRPr="4A046E21">
              <w:rPr>
                <w:rFonts w:ascii="Garamond" w:eastAsia="Garamond" w:hAnsi="Garamond" w:cs="Garamond"/>
                <w:color w:val="000000" w:themeColor="text1"/>
                <w:lang w:val="en-US"/>
              </w:rPr>
              <w:t>ecp</w:t>
            </w:r>
            <w:proofErr w:type="spellEnd"/>
            <w:r w:rsidRPr="4A046E21">
              <w:rPr>
                <w:rFonts w:ascii="Garamond" w:eastAsia="Garamond" w:hAnsi="Garamond" w:cs="Garamond"/>
                <w:color w:val="000000" w:themeColor="text1"/>
                <w:lang w:val="en-US"/>
              </w:rPr>
              <w:t xml:space="preserve">) met for the first time in brussels today, kicking-off a process where public authorities and industry work together to help building the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digital single market for cloud computing pursuant to the </w:t>
            </w:r>
            <w:proofErr w:type="spellStart"/>
            <w:r w:rsidRPr="4A046E21">
              <w:rPr>
                <w:rFonts w:ascii="Garamond" w:eastAsia="Garamond" w:hAnsi="Garamond" w:cs="Garamond"/>
                <w:color w:val="000000" w:themeColor="text1"/>
                <w:lang w:val="en-US"/>
              </w:rPr>
              <w:t>european</w:t>
            </w:r>
            <w:proofErr w:type="spellEnd"/>
            <w:r w:rsidRPr="4A046E21">
              <w:rPr>
                <w:rFonts w:ascii="Garamond" w:eastAsia="Garamond" w:hAnsi="Garamond" w:cs="Garamond"/>
                <w:color w:val="000000" w:themeColor="text1"/>
                <w:lang w:val="en-US"/>
              </w:rPr>
              <w:t xml:space="preserve"> cloud computing </w:t>
            </w:r>
            <w:proofErr w:type="spellStart"/>
            <w:r w:rsidRPr="4A046E21">
              <w:rPr>
                <w:rFonts w:ascii="Garamond" w:eastAsia="Garamond" w:hAnsi="Garamond" w:cs="Garamond"/>
                <w:color w:val="000000" w:themeColor="text1"/>
                <w:lang w:val="en-US"/>
              </w:rPr>
              <w:t>strategy._specifically</w:t>
            </w:r>
            <w:proofErr w:type="spellEnd"/>
            <w:r w:rsidRPr="4A046E21">
              <w:rPr>
                <w:rFonts w:ascii="Garamond" w:eastAsia="Garamond" w:hAnsi="Garamond" w:cs="Garamond"/>
                <w:color w:val="000000" w:themeColor="text1"/>
                <w:lang w:val="en-US"/>
              </w:rPr>
              <w:t xml:space="preserve">, the </w:t>
            </w:r>
            <w:proofErr w:type="spellStart"/>
            <w:r w:rsidRPr="4A046E21">
              <w:rPr>
                <w:rFonts w:ascii="Garamond" w:eastAsia="Garamond" w:hAnsi="Garamond" w:cs="Garamond"/>
                <w:color w:val="000000" w:themeColor="text1"/>
                <w:lang w:val="en-US"/>
              </w:rPr>
              <w:t>ecp</w:t>
            </w:r>
            <w:proofErr w:type="spellEnd"/>
            <w:r w:rsidRPr="4A046E21">
              <w:rPr>
                <w:rFonts w:ascii="Garamond" w:eastAsia="Garamond" w:hAnsi="Garamond" w:cs="Garamond"/>
                <w:color w:val="000000" w:themeColor="text1"/>
                <w:lang w:val="en-US"/>
              </w:rPr>
              <w:t xml:space="preserve"> aims at leveraging the public sector's buying power to shape the growing and maturing market for cloud computing services.</w:t>
            </w:r>
          </w:p>
        </w:tc>
        <w:tc>
          <w:tcPr>
            <w:tcW w:w="516" w:type="pct"/>
            <w:tcMar>
              <w:left w:w="108" w:type="dxa"/>
              <w:bottom w:w="135" w:type="dxa"/>
              <w:right w:w="115" w:type="dxa"/>
            </w:tcMar>
            <w:vAlign w:val="center"/>
          </w:tcPr>
          <w:p w14:paraId="45A233B0" w14:textId="6FF7BB10"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560114EB" w14:textId="77777777" w:rsidTr="00A32B4F">
        <w:trPr>
          <w:trHeight w:val="615"/>
        </w:trPr>
        <w:tc>
          <w:tcPr>
            <w:tcW w:w="4484" w:type="pct"/>
            <w:tcMar>
              <w:left w:w="108" w:type="dxa"/>
              <w:bottom w:w="135" w:type="dxa"/>
              <w:right w:w="115" w:type="dxa"/>
            </w:tcMar>
            <w:vAlign w:val="bottom"/>
          </w:tcPr>
          <w:p w14:paraId="5CD67DCA" w14:textId="28DB1F59"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making sure that the green bonds are used for green objectives today's framework demonstrates to the investor community how the funds raised by the </w:t>
            </w:r>
            <w:proofErr w:type="spellStart"/>
            <w:r w:rsidRPr="4A046E21">
              <w:rPr>
                <w:rFonts w:ascii="Garamond" w:eastAsia="Garamond" w:hAnsi="Garamond" w:cs="Garamond"/>
                <w:color w:val="000000" w:themeColor="text1"/>
                <w:lang w:val="en-US"/>
              </w:rPr>
              <w:t>nextgenerationeu</w:t>
            </w:r>
            <w:proofErr w:type="spellEnd"/>
            <w:r w:rsidRPr="4A046E21">
              <w:rPr>
                <w:rFonts w:ascii="Garamond" w:eastAsia="Garamond" w:hAnsi="Garamond" w:cs="Garamond"/>
                <w:color w:val="000000" w:themeColor="text1"/>
                <w:lang w:val="en-US"/>
              </w:rPr>
              <w:t xml:space="preserve"> green bond issuance will be used for green </w:t>
            </w:r>
            <w:proofErr w:type="spellStart"/>
            <w:r w:rsidRPr="4A046E21">
              <w:rPr>
                <w:rFonts w:ascii="Garamond" w:eastAsia="Garamond" w:hAnsi="Garamond" w:cs="Garamond"/>
                <w:color w:val="000000" w:themeColor="text1"/>
                <w:lang w:val="en-US"/>
              </w:rPr>
              <w:t>objectives._more</w:t>
            </w:r>
            <w:proofErr w:type="spellEnd"/>
            <w:r w:rsidRPr="4A046E21">
              <w:rPr>
                <w:rFonts w:ascii="Garamond" w:eastAsia="Garamond" w:hAnsi="Garamond" w:cs="Garamond"/>
                <w:color w:val="000000" w:themeColor="text1"/>
                <w:lang w:val="en-US"/>
              </w:rPr>
              <w:t xml:space="preserve"> concretely, the </w:t>
            </w:r>
            <w:proofErr w:type="spellStart"/>
            <w:r w:rsidRPr="4A046E21">
              <w:rPr>
                <w:rFonts w:ascii="Garamond" w:eastAsia="Garamond" w:hAnsi="Garamond" w:cs="Garamond"/>
                <w:color w:val="000000" w:themeColor="text1"/>
                <w:lang w:val="en-US"/>
              </w:rPr>
              <w:t>nextgenerationeu</w:t>
            </w:r>
            <w:proofErr w:type="spellEnd"/>
            <w:r w:rsidRPr="4A046E21">
              <w:rPr>
                <w:rFonts w:ascii="Garamond" w:eastAsia="Garamond" w:hAnsi="Garamond" w:cs="Garamond"/>
                <w:color w:val="000000" w:themeColor="text1"/>
                <w:lang w:val="en-US"/>
              </w:rPr>
              <w:t xml:space="preserve"> green bond proceeds will finance the share of climate-relevant expenditure in the </w:t>
            </w:r>
            <w:proofErr w:type="spellStart"/>
            <w:r w:rsidRPr="4A046E21">
              <w:rPr>
                <w:rFonts w:ascii="Garamond" w:eastAsia="Garamond" w:hAnsi="Garamond" w:cs="Garamond"/>
                <w:color w:val="000000" w:themeColor="text1"/>
                <w:lang w:val="en-US"/>
              </w:rPr>
              <w:t>rrf</w:t>
            </w:r>
            <w:proofErr w:type="spellEnd"/>
            <w:r w:rsidRPr="4A046E21">
              <w:rPr>
                <w:rFonts w:ascii="Garamond" w:eastAsia="Garamond" w:hAnsi="Garamond" w:cs="Garamond"/>
                <w:color w:val="000000" w:themeColor="text1"/>
                <w:lang w:val="en-US"/>
              </w:rPr>
              <w:t>._every member state has to dedicate at least 37% of their national recovery and resilience plan – the roadmap to spending the funds under the recovery and resilience facility – to climate-relevant investments and reforms, with many member states planning to do more than required.</w:t>
            </w:r>
          </w:p>
        </w:tc>
        <w:tc>
          <w:tcPr>
            <w:tcW w:w="516" w:type="pct"/>
            <w:tcMar>
              <w:left w:w="108" w:type="dxa"/>
              <w:bottom w:w="135" w:type="dxa"/>
              <w:right w:w="115" w:type="dxa"/>
            </w:tcMar>
            <w:vAlign w:val="center"/>
          </w:tcPr>
          <w:p w14:paraId="59EE7737" w14:textId="74AF5B7D"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2677AD65" w14:textId="77777777" w:rsidTr="00A32B4F">
        <w:trPr>
          <w:trHeight w:val="615"/>
        </w:trPr>
        <w:tc>
          <w:tcPr>
            <w:tcW w:w="4484" w:type="pct"/>
            <w:tcMar>
              <w:left w:w="108" w:type="dxa"/>
              <w:bottom w:w="135" w:type="dxa"/>
              <w:right w:w="115" w:type="dxa"/>
            </w:tcMar>
            <w:vAlign w:val="bottom"/>
          </w:tcPr>
          <w:p w14:paraId="522F9C0D" w14:textId="0D0371F2"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like micro- and nano-</w:t>
            </w:r>
            <w:proofErr w:type="gramStart"/>
            <w:r w:rsidRPr="4A046E21">
              <w:rPr>
                <w:rFonts w:ascii="Garamond" w:eastAsia="Garamond" w:hAnsi="Garamond" w:cs="Garamond"/>
                <w:color w:val="000000" w:themeColor="text1"/>
                <w:lang w:val="en-US"/>
              </w:rPr>
              <w:t>electronics:</w:t>
            </w:r>
            <w:proofErr w:type="gramEnd"/>
            <w:r w:rsidRPr="4A046E21">
              <w:rPr>
                <w:rFonts w:ascii="Garamond" w:eastAsia="Garamond" w:hAnsi="Garamond" w:cs="Garamond"/>
                <w:color w:val="000000" w:themeColor="text1"/>
                <w:lang w:val="en-US"/>
              </w:rPr>
              <w:t xml:space="preserve"> let's cut the fragmented landscape, pool our excellence in </w:t>
            </w:r>
            <w:proofErr w:type="spellStart"/>
            <w:r w:rsidRPr="4A046E21">
              <w:rPr>
                <w:rFonts w:ascii="Garamond" w:eastAsia="Garamond" w:hAnsi="Garamond" w:cs="Garamond"/>
                <w:color w:val="000000" w:themeColor="text1"/>
                <w:lang w:val="en-US"/>
              </w:rPr>
              <w:t>r&amp;d</w:t>
            </w:r>
            <w:proofErr w:type="spellEnd"/>
            <w:r w:rsidRPr="4A046E21">
              <w:rPr>
                <w:rFonts w:ascii="Garamond" w:eastAsia="Garamond" w:hAnsi="Garamond" w:cs="Garamond"/>
                <w:color w:val="000000" w:themeColor="text1"/>
                <w:lang w:val="en-US"/>
              </w:rPr>
              <w:t xml:space="preserve">, and connect the industry that supplies innovation with those who demand </w:t>
            </w:r>
            <w:proofErr w:type="spellStart"/>
            <w:r w:rsidRPr="4A046E21">
              <w:rPr>
                <w:rFonts w:ascii="Garamond" w:eastAsia="Garamond" w:hAnsi="Garamond" w:cs="Garamond"/>
                <w:color w:val="000000" w:themeColor="text1"/>
                <w:lang w:val="en-US"/>
              </w:rPr>
              <w:t>it._let's</w:t>
            </w:r>
            <w:proofErr w:type="spellEnd"/>
            <w:r w:rsidRPr="4A046E21">
              <w:rPr>
                <w:rFonts w:ascii="Garamond" w:eastAsia="Garamond" w:hAnsi="Garamond" w:cs="Garamond"/>
                <w:color w:val="000000" w:themeColor="text1"/>
                <w:lang w:val="en-US"/>
              </w:rPr>
              <w:t xml:space="preserve"> become world leaders in that key enabling </w:t>
            </w:r>
            <w:proofErr w:type="spellStart"/>
            <w:r w:rsidRPr="4A046E21">
              <w:rPr>
                <w:rFonts w:ascii="Garamond" w:eastAsia="Garamond" w:hAnsi="Garamond" w:cs="Garamond"/>
                <w:color w:val="000000" w:themeColor="text1"/>
                <w:lang w:val="en-US"/>
              </w:rPr>
              <w:t>technology._and</w:t>
            </w:r>
            <w:proofErr w:type="spellEnd"/>
            <w:r w:rsidRPr="4A046E21">
              <w:rPr>
                <w:rFonts w:ascii="Garamond" w:eastAsia="Garamond" w:hAnsi="Garamond" w:cs="Garamond"/>
                <w:color w:val="000000" w:themeColor="text1"/>
                <w:lang w:val="en-US"/>
              </w:rPr>
              <w:t>, beyond research and development, let's remember that good ideas often can't prosper, can't spread, can't create jobs, without the right infrastructure: digital infrastructure.</w:t>
            </w:r>
          </w:p>
        </w:tc>
        <w:tc>
          <w:tcPr>
            <w:tcW w:w="516" w:type="pct"/>
            <w:tcMar>
              <w:left w:w="108" w:type="dxa"/>
              <w:bottom w:w="135" w:type="dxa"/>
              <w:right w:w="115" w:type="dxa"/>
            </w:tcMar>
            <w:vAlign w:val="center"/>
          </w:tcPr>
          <w:p w14:paraId="6090F38F" w14:textId="0A9BE3BA"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601E4421" w14:textId="77777777" w:rsidTr="00A32B4F">
        <w:trPr>
          <w:trHeight w:val="615"/>
        </w:trPr>
        <w:tc>
          <w:tcPr>
            <w:tcW w:w="4484" w:type="pct"/>
            <w:tcMar>
              <w:left w:w="108" w:type="dxa"/>
              <w:bottom w:w="135" w:type="dxa"/>
              <w:right w:w="115" w:type="dxa"/>
            </w:tcMar>
            <w:vAlign w:val="bottom"/>
          </w:tcPr>
          <w:p w14:paraId="06653F73" w14:textId="661ED645"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having the relevant skills empowers people to successfully navigate </w:t>
            </w:r>
            <w:proofErr w:type="spellStart"/>
            <w:r w:rsidRPr="4A046E21">
              <w:rPr>
                <w:rFonts w:ascii="Garamond" w:eastAsia="Garamond" w:hAnsi="Garamond" w:cs="Garamond"/>
                <w:color w:val="000000" w:themeColor="text1"/>
                <w:lang w:val="en-US"/>
              </w:rPr>
              <w:t>labour</w:t>
            </w:r>
            <w:proofErr w:type="spellEnd"/>
            <w:r w:rsidRPr="4A046E21">
              <w:rPr>
                <w:rFonts w:ascii="Garamond" w:eastAsia="Garamond" w:hAnsi="Garamond" w:cs="Garamond"/>
                <w:color w:val="000000" w:themeColor="text1"/>
                <w:lang w:val="en-US"/>
              </w:rPr>
              <w:t xml:space="preserve"> market changes and to fully engage in society and </w:t>
            </w:r>
            <w:proofErr w:type="spellStart"/>
            <w:r w:rsidRPr="4A046E21">
              <w:rPr>
                <w:rFonts w:ascii="Garamond" w:eastAsia="Garamond" w:hAnsi="Garamond" w:cs="Garamond"/>
                <w:color w:val="000000" w:themeColor="text1"/>
                <w:lang w:val="en-US"/>
              </w:rPr>
              <w:t>democracy._this</w:t>
            </w:r>
            <w:proofErr w:type="spellEnd"/>
            <w:r w:rsidRPr="4A046E21">
              <w:rPr>
                <w:rFonts w:ascii="Garamond" w:eastAsia="Garamond" w:hAnsi="Garamond" w:cs="Garamond"/>
                <w:color w:val="000000" w:themeColor="text1"/>
                <w:lang w:val="en-US"/>
              </w:rPr>
              <w:t xml:space="preserve"> will ensure that nobody is left behind and the economic recovery as well as the green and digital transitions are socially fair and </w:t>
            </w:r>
            <w:proofErr w:type="spellStart"/>
            <w:r w:rsidRPr="4A046E21">
              <w:rPr>
                <w:rFonts w:ascii="Garamond" w:eastAsia="Garamond" w:hAnsi="Garamond" w:cs="Garamond"/>
                <w:color w:val="000000" w:themeColor="text1"/>
                <w:lang w:val="en-US"/>
              </w:rPr>
              <w:t>just._a</w:t>
            </w:r>
            <w:proofErr w:type="spellEnd"/>
            <w:r w:rsidRPr="4A046E21">
              <w:rPr>
                <w:rFonts w:ascii="Garamond" w:eastAsia="Garamond" w:hAnsi="Garamond" w:cs="Garamond"/>
                <w:color w:val="000000" w:themeColor="text1"/>
                <w:lang w:val="en-US"/>
              </w:rPr>
              <w:t xml:space="preserve"> workforce with the skills that are in demand also contributes to sustainable growth, leads to more innovation and improves companies' competitiveness.</w:t>
            </w:r>
          </w:p>
        </w:tc>
        <w:tc>
          <w:tcPr>
            <w:tcW w:w="516" w:type="pct"/>
            <w:tcMar>
              <w:left w:w="108" w:type="dxa"/>
              <w:bottom w:w="135" w:type="dxa"/>
              <w:right w:w="115" w:type="dxa"/>
            </w:tcMar>
            <w:vAlign w:val="center"/>
          </w:tcPr>
          <w:p w14:paraId="28253DF6" w14:textId="6DE002ED"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3D43F6F6" w14:textId="77777777" w:rsidTr="00A32B4F">
        <w:trPr>
          <w:trHeight w:val="615"/>
        </w:trPr>
        <w:tc>
          <w:tcPr>
            <w:tcW w:w="4484" w:type="pct"/>
            <w:tcMar>
              <w:left w:w="108" w:type="dxa"/>
              <w:bottom w:w="135" w:type="dxa"/>
              <w:right w:w="115" w:type="dxa"/>
            </w:tcMar>
            <w:vAlign w:val="bottom"/>
          </w:tcPr>
          <w:p w14:paraId="4B061400" w14:textId="52BE1F67"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for instance, applying for the first time  its  new    rules  of  procedure  for expediting  structural  cases,  the  commission    recently  approved,  in  less than three months, the plan  to  set  up  a    cooperative joint venture between </w:t>
            </w:r>
            <w:proofErr w:type="spellStart"/>
            <w:r w:rsidRPr="4A046E21">
              <w:rPr>
                <w:rFonts w:ascii="Garamond" w:eastAsia="Garamond" w:hAnsi="Garamond" w:cs="Garamond"/>
                <w:color w:val="000000" w:themeColor="text1"/>
                <w:lang w:val="en-US"/>
              </w:rPr>
              <w:t>philips</w:t>
            </w:r>
            <w:proofErr w:type="spellEnd"/>
            <w:r w:rsidRPr="4A046E21">
              <w:rPr>
                <w:rFonts w:ascii="Garamond" w:eastAsia="Garamond" w:hAnsi="Garamond" w:cs="Garamond"/>
                <w:color w:val="000000" w:themeColor="text1"/>
                <w:lang w:val="en-US"/>
              </w:rPr>
              <w:t xml:space="preserve">, </w:t>
            </w:r>
            <w:proofErr w:type="spellStart"/>
            <w:r w:rsidRPr="4A046E21">
              <w:rPr>
                <w:rFonts w:ascii="Garamond" w:eastAsia="Garamond" w:hAnsi="Garamond" w:cs="Garamond"/>
                <w:color w:val="000000" w:themeColor="text1"/>
                <w:lang w:val="en-US"/>
              </w:rPr>
              <w:t>thomson</w:t>
            </w:r>
            <w:proofErr w:type="spellEnd"/>
            <w:r w:rsidRPr="4A046E21">
              <w:rPr>
                <w:rFonts w:ascii="Garamond" w:eastAsia="Garamond" w:hAnsi="Garamond" w:cs="Garamond"/>
                <w:color w:val="000000" w:themeColor="text1"/>
                <w:lang w:val="en-US"/>
              </w:rPr>
              <w:t xml:space="preserve"> and </w:t>
            </w:r>
            <w:proofErr w:type="spellStart"/>
            <w:r w:rsidRPr="4A046E21">
              <w:rPr>
                <w:rFonts w:ascii="Garamond" w:eastAsia="Garamond" w:hAnsi="Garamond" w:cs="Garamond"/>
                <w:color w:val="000000" w:themeColor="text1"/>
                <w:lang w:val="en-US"/>
              </w:rPr>
              <w:t>sagem</w:t>
            </w:r>
            <w:proofErr w:type="spellEnd"/>
            <w:r w:rsidRPr="4A046E21">
              <w:rPr>
                <w:rFonts w:ascii="Garamond" w:eastAsia="Garamond" w:hAnsi="Garamond" w:cs="Garamond"/>
                <w:color w:val="000000" w:themeColor="text1"/>
                <w:lang w:val="en-US"/>
              </w:rPr>
              <w:t xml:space="preserve">._the  joint    venture  was  to  develop liquid-crystal  </w:t>
            </w:r>
            <w:proofErr w:type="spellStart"/>
            <w:r w:rsidRPr="4A046E21">
              <w:rPr>
                <w:rFonts w:ascii="Garamond" w:eastAsia="Garamond" w:hAnsi="Garamond" w:cs="Garamond"/>
                <w:color w:val="000000" w:themeColor="text1"/>
                <w:lang w:val="en-US"/>
              </w:rPr>
              <w:t>displays._on</w:t>
            </w:r>
            <w:proofErr w:type="spellEnd"/>
            <w:r w:rsidRPr="4A046E21">
              <w:rPr>
                <w:rFonts w:ascii="Garamond" w:eastAsia="Garamond" w:hAnsi="Garamond" w:cs="Garamond"/>
                <w:color w:val="000000" w:themeColor="text1"/>
                <w:lang w:val="en-US"/>
              </w:rPr>
              <w:t xml:space="preserve">  account  of  its    strategic importance for the community in the face of world  competition,    the  commission  decided to give this scheme the  go-ahead,  despite  the    near-monopoly  that  the  joint  venture would enjoy  in  </w:t>
            </w:r>
            <w:proofErr w:type="spellStart"/>
            <w:r w:rsidRPr="4A046E21">
              <w:rPr>
                <w:rFonts w:ascii="Garamond" w:eastAsia="Garamond" w:hAnsi="Garamond" w:cs="Garamond"/>
                <w:color w:val="000000" w:themeColor="text1"/>
                <w:lang w:val="en-US"/>
              </w:rPr>
              <w:t>europe</w:t>
            </w:r>
            <w:proofErr w:type="spellEnd"/>
            <w:r w:rsidRPr="4A046E21">
              <w:rPr>
                <w:rFonts w:ascii="Garamond" w:eastAsia="Garamond" w:hAnsi="Garamond" w:cs="Garamond"/>
                <w:color w:val="000000" w:themeColor="text1"/>
                <w:lang w:val="en-US"/>
              </w:rPr>
              <w:t xml:space="preserve">  on  the    relevant market.</w:t>
            </w:r>
          </w:p>
        </w:tc>
        <w:tc>
          <w:tcPr>
            <w:tcW w:w="516" w:type="pct"/>
            <w:tcMar>
              <w:left w:w="108" w:type="dxa"/>
              <w:bottom w:w="135" w:type="dxa"/>
              <w:right w:w="115" w:type="dxa"/>
            </w:tcMar>
            <w:vAlign w:val="center"/>
          </w:tcPr>
          <w:p w14:paraId="3BA12368" w14:textId="7D0D905F"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6B5A066C" w14:textId="77777777" w:rsidTr="00A32B4F">
        <w:trPr>
          <w:trHeight w:val="615"/>
        </w:trPr>
        <w:tc>
          <w:tcPr>
            <w:tcW w:w="4484" w:type="pct"/>
            <w:tcMar>
              <w:left w:w="108" w:type="dxa"/>
              <w:bottom w:w="135" w:type="dxa"/>
              <w:right w:w="115" w:type="dxa"/>
            </w:tcMar>
            <w:vAlign w:val="bottom"/>
          </w:tcPr>
          <w:p w14:paraId="653FCD24" w14:textId="677936B8"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lastRenderedPageBreak/>
              <w:t xml:space="preserve">for example, military mobility benefits from the improvement of our railway </w:t>
            </w:r>
            <w:proofErr w:type="spellStart"/>
            <w:r w:rsidRPr="4A046E21">
              <w:rPr>
                <w:rFonts w:ascii="Garamond" w:eastAsia="Garamond" w:hAnsi="Garamond" w:cs="Garamond"/>
                <w:color w:val="000000" w:themeColor="text1"/>
                <w:lang w:val="en-US"/>
              </w:rPr>
              <w:t>systems._but</w:t>
            </w:r>
            <w:proofErr w:type="spellEnd"/>
            <w:r w:rsidRPr="4A046E21">
              <w:rPr>
                <w:rFonts w:ascii="Garamond" w:eastAsia="Garamond" w:hAnsi="Garamond" w:cs="Garamond"/>
                <w:color w:val="000000" w:themeColor="text1"/>
                <w:lang w:val="en-US"/>
              </w:rPr>
              <w:t xml:space="preserve"> also the investing in cyber-security; new power grids; artificial intelligence; data protection; of course the digital infrastructure like 5g, 6g is very important for </w:t>
            </w:r>
            <w:proofErr w:type="spellStart"/>
            <w:r w:rsidRPr="4A046E21">
              <w:rPr>
                <w:rFonts w:ascii="Garamond" w:eastAsia="Garamond" w:hAnsi="Garamond" w:cs="Garamond"/>
                <w:color w:val="000000" w:themeColor="text1"/>
                <w:lang w:val="en-US"/>
              </w:rPr>
              <w:t>europe's</w:t>
            </w:r>
            <w:proofErr w:type="spellEnd"/>
            <w:r w:rsidRPr="4A046E21">
              <w:rPr>
                <w:rFonts w:ascii="Garamond" w:eastAsia="Garamond" w:hAnsi="Garamond" w:cs="Garamond"/>
                <w:color w:val="000000" w:themeColor="text1"/>
                <w:lang w:val="en-US"/>
              </w:rPr>
              <w:t xml:space="preserve"> economic </w:t>
            </w:r>
            <w:proofErr w:type="spellStart"/>
            <w:r w:rsidRPr="4A046E21">
              <w:rPr>
                <w:rFonts w:ascii="Garamond" w:eastAsia="Garamond" w:hAnsi="Garamond" w:cs="Garamond"/>
                <w:color w:val="000000" w:themeColor="text1"/>
                <w:lang w:val="en-US"/>
              </w:rPr>
              <w:t>development._but</w:t>
            </w:r>
            <w:proofErr w:type="spellEnd"/>
            <w:r w:rsidRPr="4A046E21">
              <w:rPr>
                <w:rFonts w:ascii="Garamond" w:eastAsia="Garamond" w:hAnsi="Garamond" w:cs="Garamond"/>
                <w:color w:val="000000" w:themeColor="text1"/>
                <w:lang w:val="en-US"/>
              </w:rPr>
              <w:t xml:space="preserve"> of course, it is also a key to mitigate possible threats, such as those threats in hybrid warfare.</w:t>
            </w:r>
          </w:p>
        </w:tc>
        <w:tc>
          <w:tcPr>
            <w:tcW w:w="516" w:type="pct"/>
            <w:tcMar>
              <w:left w:w="108" w:type="dxa"/>
              <w:bottom w:w="135" w:type="dxa"/>
              <w:right w:w="115" w:type="dxa"/>
            </w:tcMar>
            <w:vAlign w:val="center"/>
          </w:tcPr>
          <w:p w14:paraId="63222DCB" w14:textId="5C752E75"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3835DEDC" w14:textId="77777777" w:rsidTr="00A32B4F">
        <w:trPr>
          <w:trHeight w:val="615"/>
        </w:trPr>
        <w:tc>
          <w:tcPr>
            <w:tcW w:w="4484" w:type="pct"/>
            <w:tcMar>
              <w:left w:w="108" w:type="dxa"/>
              <w:bottom w:w="135" w:type="dxa"/>
              <w:right w:w="115" w:type="dxa"/>
            </w:tcMar>
            <w:vAlign w:val="bottom"/>
          </w:tcPr>
          <w:p w14:paraId="21C875F3" w14:textId="7E3A9EC4"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with regards to investment we can do it through the support of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funds, also the investment plan for </w:t>
            </w:r>
            <w:proofErr w:type="spellStart"/>
            <w:r w:rsidRPr="4A046E21">
              <w:rPr>
                <w:rFonts w:ascii="Garamond" w:eastAsia="Garamond" w:hAnsi="Garamond" w:cs="Garamond"/>
                <w:color w:val="000000" w:themeColor="text1"/>
                <w:lang w:val="en-US"/>
              </w:rPr>
              <w:t>europe</w:t>
            </w:r>
            <w:proofErr w:type="spellEnd"/>
            <w:r w:rsidRPr="4A046E21">
              <w:rPr>
                <w:rFonts w:ascii="Garamond" w:eastAsia="Garamond" w:hAnsi="Garamond" w:cs="Garamond"/>
                <w:color w:val="000000" w:themeColor="text1"/>
                <w:lang w:val="en-US"/>
              </w:rPr>
              <w:t xml:space="preserve">._however, we all agreed that more is needed to make </w:t>
            </w:r>
            <w:proofErr w:type="spellStart"/>
            <w:r w:rsidRPr="4A046E21">
              <w:rPr>
                <w:rFonts w:ascii="Garamond" w:eastAsia="Garamond" w:hAnsi="Garamond" w:cs="Garamond"/>
                <w:color w:val="000000" w:themeColor="text1"/>
                <w:lang w:val="en-US"/>
              </w:rPr>
              <w:t>europe</w:t>
            </w:r>
            <w:proofErr w:type="spellEnd"/>
            <w:r w:rsidRPr="4A046E21">
              <w:rPr>
                <w:rFonts w:ascii="Garamond" w:eastAsia="Garamond" w:hAnsi="Garamond" w:cs="Garamond"/>
                <w:color w:val="000000" w:themeColor="text1"/>
                <w:lang w:val="en-US"/>
              </w:rPr>
              <w:t xml:space="preserve"> more inclusive and </w:t>
            </w:r>
            <w:proofErr w:type="spellStart"/>
            <w:r w:rsidRPr="4A046E21">
              <w:rPr>
                <w:rFonts w:ascii="Garamond" w:eastAsia="Garamond" w:hAnsi="Garamond" w:cs="Garamond"/>
                <w:color w:val="000000" w:themeColor="text1"/>
                <w:lang w:val="en-US"/>
              </w:rPr>
              <w:t>competitive._it</w:t>
            </w:r>
            <w:proofErr w:type="spellEnd"/>
            <w:r w:rsidRPr="4A046E21">
              <w:rPr>
                <w:rFonts w:ascii="Garamond" w:eastAsia="Garamond" w:hAnsi="Garamond" w:cs="Garamond"/>
                <w:color w:val="000000" w:themeColor="text1"/>
                <w:lang w:val="en-US"/>
              </w:rPr>
              <w:t xml:space="preserve"> means enhancing investment in key sectors, such as disruptive innovation, and helping </w:t>
            </w:r>
            <w:proofErr w:type="spellStart"/>
            <w:r w:rsidRPr="4A046E21">
              <w:rPr>
                <w:rFonts w:ascii="Garamond" w:eastAsia="Garamond" w:hAnsi="Garamond" w:cs="Garamond"/>
                <w:color w:val="000000" w:themeColor="text1"/>
                <w:lang w:val="en-US"/>
              </w:rPr>
              <w:t>smes</w:t>
            </w:r>
            <w:proofErr w:type="spellEnd"/>
            <w:r w:rsidRPr="4A046E21">
              <w:rPr>
                <w:rFonts w:ascii="Garamond" w:eastAsia="Garamond" w:hAnsi="Garamond" w:cs="Garamond"/>
                <w:color w:val="000000" w:themeColor="text1"/>
                <w:lang w:val="en-US"/>
              </w:rPr>
              <w:t xml:space="preserve"> to get finance for business growth.</w:t>
            </w:r>
          </w:p>
        </w:tc>
        <w:tc>
          <w:tcPr>
            <w:tcW w:w="516" w:type="pct"/>
            <w:tcMar>
              <w:left w:w="108" w:type="dxa"/>
              <w:bottom w:w="135" w:type="dxa"/>
              <w:right w:w="115" w:type="dxa"/>
            </w:tcMar>
            <w:vAlign w:val="center"/>
          </w:tcPr>
          <w:p w14:paraId="7CAAF36F" w14:textId="400ADC4C"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2BB4B7F2" w14:textId="77777777" w:rsidTr="00A32B4F">
        <w:trPr>
          <w:trHeight w:val="615"/>
        </w:trPr>
        <w:tc>
          <w:tcPr>
            <w:tcW w:w="4484" w:type="pct"/>
            <w:tcMar>
              <w:left w:w="108" w:type="dxa"/>
              <w:bottom w:w="135" w:type="dxa"/>
              <w:right w:w="115" w:type="dxa"/>
            </w:tcMar>
            <w:vAlign w:val="bottom"/>
          </w:tcPr>
          <w:p w14:paraId="7145C366" w14:textId="64283561"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to register for the conference or awards ceremony, email  </w:t>
            </w:r>
            <w:hyperlink r:id="rId7">
              <w:r w:rsidRPr="4A046E21">
                <w:rPr>
                  <w:rStyle w:val="Hyperlink"/>
                  <w:rFonts w:ascii="Garamond" w:eastAsia="Garamond" w:hAnsi="Garamond" w:cs="Garamond"/>
                  <w:lang w:val="en-US"/>
                </w:rPr>
                <w:t>events@sciencebusiness.net._european</w:t>
              </w:r>
            </w:hyperlink>
            <w:r w:rsidRPr="4A046E21">
              <w:rPr>
                <w:rFonts w:ascii="Garamond" w:eastAsia="Garamond" w:hAnsi="Garamond" w:cs="Garamond"/>
                <w:color w:val="000000" w:themeColor="text1"/>
                <w:lang w:val="en-US"/>
              </w:rPr>
              <w:t xml:space="preserve"> institute of innovation and technology (</w:t>
            </w:r>
            <w:proofErr w:type="spellStart"/>
            <w:r w:rsidRPr="4A046E21">
              <w:rPr>
                <w:rFonts w:ascii="Garamond" w:eastAsia="Garamond" w:hAnsi="Garamond" w:cs="Garamond"/>
                <w:color w:val="000000" w:themeColor="text1"/>
                <w:lang w:val="en-US"/>
              </w:rPr>
              <w:t>eit</w:t>
            </w:r>
            <w:proofErr w:type="spellEnd"/>
            <w:r w:rsidRPr="4A046E21">
              <w:rPr>
                <w:rFonts w:ascii="Garamond" w:eastAsia="Garamond" w:hAnsi="Garamond" w:cs="Garamond"/>
                <w:color w:val="000000" w:themeColor="text1"/>
                <w:lang w:val="en-US"/>
              </w:rPr>
              <w:t xml:space="preserve">) the core mission of the </w:t>
            </w:r>
            <w:proofErr w:type="spellStart"/>
            <w:r w:rsidRPr="4A046E21">
              <w:rPr>
                <w:rFonts w:ascii="Garamond" w:eastAsia="Garamond" w:hAnsi="Garamond" w:cs="Garamond"/>
                <w:color w:val="000000" w:themeColor="text1"/>
                <w:lang w:val="en-US"/>
              </w:rPr>
              <w:t>eit</w:t>
            </w:r>
            <w:proofErr w:type="spellEnd"/>
            <w:r w:rsidRPr="4A046E21">
              <w:rPr>
                <w:rFonts w:ascii="Garamond" w:eastAsia="Garamond" w:hAnsi="Garamond" w:cs="Garamond"/>
                <w:color w:val="000000" w:themeColor="text1"/>
                <w:lang w:val="en-US"/>
              </w:rPr>
              <w:t xml:space="preserve">, which was established in 2008 as an autonomous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body, is to promote the competitiveness of member states by bringing together excellent higher education institutions, research </w:t>
            </w:r>
            <w:proofErr w:type="spellStart"/>
            <w:r w:rsidRPr="4A046E21">
              <w:rPr>
                <w:rFonts w:ascii="Garamond" w:eastAsia="Garamond" w:hAnsi="Garamond" w:cs="Garamond"/>
                <w:color w:val="000000" w:themeColor="text1"/>
                <w:lang w:val="en-US"/>
              </w:rPr>
              <w:t>centres</w:t>
            </w:r>
            <w:proofErr w:type="spellEnd"/>
            <w:r w:rsidRPr="4A046E21">
              <w:rPr>
                <w:rFonts w:ascii="Garamond" w:eastAsia="Garamond" w:hAnsi="Garamond" w:cs="Garamond"/>
                <w:color w:val="000000" w:themeColor="text1"/>
                <w:lang w:val="en-US"/>
              </w:rPr>
              <w:t xml:space="preserve"> and businesses to focus on major societal </w:t>
            </w:r>
            <w:proofErr w:type="spellStart"/>
            <w:r w:rsidRPr="4A046E21">
              <w:rPr>
                <w:rFonts w:ascii="Garamond" w:eastAsia="Garamond" w:hAnsi="Garamond" w:cs="Garamond"/>
                <w:color w:val="000000" w:themeColor="text1"/>
                <w:lang w:val="en-US"/>
              </w:rPr>
              <w:t>challenges._it</w:t>
            </w:r>
            <w:proofErr w:type="spellEnd"/>
            <w:r w:rsidRPr="4A046E21">
              <w:rPr>
                <w:rFonts w:ascii="Garamond" w:eastAsia="Garamond" w:hAnsi="Garamond" w:cs="Garamond"/>
                <w:color w:val="000000" w:themeColor="text1"/>
                <w:lang w:val="en-US"/>
              </w:rPr>
              <w:t xml:space="preserve"> aims to achieve its objective through the </w:t>
            </w:r>
            <w:proofErr w:type="spellStart"/>
            <w:r w:rsidRPr="4A046E21">
              <w:rPr>
                <w:rFonts w:ascii="Garamond" w:eastAsia="Garamond" w:hAnsi="Garamond" w:cs="Garamond"/>
                <w:color w:val="000000" w:themeColor="text1"/>
                <w:lang w:val="en-US"/>
              </w:rPr>
              <w:t>kics</w:t>
            </w:r>
            <w:proofErr w:type="spellEnd"/>
            <w:r w:rsidRPr="4A046E21">
              <w:rPr>
                <w:rFonts w:ascii="Garamond" w:eastAsia="Garamond" w:hAnsi="Garamond" w:cs="Garamond"/>
                <w:color w:val="000000" w:themeColor="text1"/>
                <w:lang w:val="en-US"/>
              </w:rPr>
              <w:t>, a pioneering concept of cross-border public-private-partnerships.</w:t>
            </w:r>
          </w:p>
        </w:tc>
        <w:tc>
          <w:tcPr>
            <w:tcW w:w="516" w:type="pct"/>
            <w:tcMar>
              <w:left w:w="108" w:type="dxa"/>
              <w:bottom w:w="135" w:type="dxa"/>
              <w:right w:w="115" w:type="dxa"/>
            </w:tcMar>
            <w:vAlign w:val="center"/>
          </w:tcPr>
          <w:p w14:paraId="36C83A89" w14:textId="2AFE34E8"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3D2EEC5D" w14:textId="77777777" w:rsidTr="00A32B4F">
        <w:trPr>
          <w:trHeight w:val="615"/>
        </w:trPr>
        <w:tc>
          <w:tcPr>
            <w:tcW w:w="4484" w:type="pct"/>
            <w:tcMar>
              <w:left w:w="108" w:type="dxa"/>
              <w:bottom w:w="135" w:type="dxa"/>
              <w:right w:w="115" w:type="dxa"/>
            </w:tcMar>
            <w:vAlign w:val="bottom"/>
          </w:tcPr>
          <w:p w14:paraId="59FA23DB" w14:textId="25E24EBE"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among the priorities which we have to aim at: </w:t>
            </w:r>
            <w:proofErr w:type="spellStart"/>
            <w:r w:rsidRPr="4A046E21">
              <w:rPr>
                <w:rFonts w:ascii="Garamond" w:eastAsia="Garamond" w:hAnsi="Garamond" w:cs="Garamond"/>
                <w:color w:val="000000" w:themeColor="text1"/>
                <w:lang w:val="en-US"/>
              </w:rPr>
              <w:t>kets</w:t>
            </w:r>
            <w:proofErr w:type="spellEnd"/>
            <w:r w:rsidRPr="4A046E21">
              <w:rPr>
                <w:rFonts w:ascii="Garamond" w:eastAsia="Garamond" w:hAnsi="Garamond" w:cs="Garamond"/>
                <w:color w:val="000000" w:themeColor="text1"/>
                <w:lang w:val="en-US"/>
              </w:rPr>
              <w:t xml:space="preserve"> and those technologies linked to green economy which are playing a crucial role in addressing social challenges, such as ageing population, resource scarcity and climate </w:t>
            </w:r>
            <w:proofErr w:type="spellStart"/>
            <w:r w:rsidRPr="4A046E21">
              <w:rPr>
                <w:rFonts w:ascii="Garamond" w:eastAsia="Garamond" w:hAnsi="Garamond" w:cs="Garamond"/>
                <w:color w:val="000000" w:themeColor="text1"/>
                <w:lang w:val="en-US"/>
              </w:rPr>
              <w:t>change.such</w:t>
            </w:r>
            <w:proofErr w:type="spellEnd"/>
            <w:r w:rsidRPr="4A046E21">
              <w:rPr>
                <w:rFonts w:ascii="Garamond" w:eastAsia="Garamond" w:hAnsi="Garamond" w:cs="Garamond"/>
                <w:color w:val="000000" w:themeColor="text1"/>
                <w:lang w:val="en-US"/>
              </w:rPr>
              <w:t xml:space="preserve"> technologies have spectacular both actual and potential growth rates: only concerning products based on nanotechnologies, it is expected that profits will go from the 254 billions of 2009 to 2500 in 2015, with a substantial percentage of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w:t>
            </w:r>
            <w:proofErr w:type="spellStart"/>
            <w:r w:rsidRPr="4A046E21">
              <w:rPr>
                <w:rFonts w:ascii="Garamond" w:eastAsia="Garamond" w:hAnsi="Garamond" w:cs="Garamond"/>
                <w:color w:val="000000" w:themeColor="text1"/>
                <w:lang w:val="en-US"/>
              </w:rPr>
              <w:t>gdp</w:t>
            </w:r>
            <w:proofErr w:type="spellEnd"/>
            <w:r w:rsidRPr="4A046E21">
              <w:rPr>
                <w:rFonts w:ascii="Garamond" w:eastAsia="Garamond" w:hAnsi="Garamond" w:cs="Garamond"/>
                <w:color w:val="000000" w:themeColor="text1"/>
                <w:lang w:val="en-US"/>
              </w:rPr>
              <w:t xml:space="preserve"> and remarkable effects on employment.it is indeed in this field that </w:t>
            </w:r>
            <w:proofErr w:type="spellStart"/>
            <w:r w:rsidRPr="4A046E21">
              <w:rPr>
                <w:rFonts w:ascii="Garamond" w:eastAsia="Garamond" w:hAnsi="Garamond" w:cs="Garamond"/>
                <w:color w:val="000000" w:themeColor="text1"/>
                <w:lang w:val="en-US"/>
              </w:rPr>
              <w:t>europe's</w:t>
            </w:r>
            <w:proofErr w:type="spellEnd"/>
            <w:r w:rsidRPr="4A046E21">
              <w:rPr>
                <w:rFonts w:ascii="Garamond" w:eastAsia="Garamond" w:hAnsi="Garamond" w:cs="Garamond"/>
                <w:color w:val="000000" w:themeColor="text1"/>
                <w:lang w:val="en-US"/>
              </w:rPr>
              <w:t xml:space="preserve"> future as a global economic and industrial power is at </w:t>
            </w:r>
            <w:proofErr w:type="spellStart"/>
            <w:r w:rsidRPr="4A046E21">
              <w:rPr>
                <w:rFonts w:ascii="Garamond" w:eastAsia="Garamond" w:hAnsi="Garamond" w:cs="Garamond"/>
                <w:color w:val="000000" w:themeColor="text1"/>
                <w:lang w:val="en-US"/>
              </w:rPr>
              <w:t>stake._from</w:t>
            </w:r>
            <w:proofErr w:type="spellEnd"/>
            <w:r w:rsidRPr="4A046E21">
              <w:rPr>
                <w:rFonts w:ascii="Garamond" w:eastAsia="Garamond" w:hAnsi="Garamond" w:cs="Garamond"/>
                <w:color w:val="000000" w:themeColor="text1"/>
                <w:lang w:val="en-US"/>
              </w:rPr>
              <w:t xml:space="preserve"> what emerges from the report adopted last month by the </w:t>
            </w:r>
            <w:proofErr w:type="spellStart"/>
            <w:r w:rsidRPr="4A046E21">
              <w:rPr>
                <w:rFonts w:ascii="Garamond" w:eastAsia="Garamond" w:hAnsi="Garamond" w:cs="Garamond"/>
                <w:color w:val="000000" w:themeColor="text1"/>
                <w:lang w:val="en-US"/>
              </w:rPr>
              <w:t>kets</w:t>
            </w:r>
            <w:proofErr w:type="spellEnd"/>
            <w:r w:rsidRPr="4A046E21">
              <w:rPr>
                <w:rFonts w:ascii="Garamond" w:eastAsia="Garamond" w:hAnsi="Garamond" w:cs="Garamond"/>
                <w:color w:val="000000" w:themeColor="text1"/>
                <w:lang w:val="en-US"/>
              </w:rPr>
              <w:t xml:space="preserve"> focus group, </w:t>
            </w:r>
            <w:proofErr w:type="spellStart"/>
            <w:r w:rsidRPr="4A046E21">
              <w:rPr>
                <w:rFonts w:ascii="Garamond" w:eastAsia="Garamond" w:hAnsi="Garamond" w:cs="Garamond"/>
                <w:color w:val="000000" w:themeColor="text1"/>
                <w:lang w:val="en-US"/>
              </w:rPr>
              <w:t>cina</w:t>
            </w:r>
            <w:proofErr w:type="spellEnd"/>
            <w:r w:rsidRPr="4A046E21">
              <w:rPr>
                <w:rFonts w:ascii="Garamond" w:eastAsia="Garamond" w:hAnsi="Garamond" w:cs="Garamond"/>
                <w:color w:val="000000" w:themeColor="text1"/>
                <w:lang w:val="en-US"/>
              </w:rPr>
              <w:t xml:space="preserve">, the </w:t>
            </w:r>
            <w:proofErr w:type="spellStart"/>
            <w:r w:rsidRPr="4A046E21">
              <w:rPr>
                <w:rFonts w:ascii="Garamond" w:eastAsia="Garamond" w:hAnsi="Garamond" w:cs="Garamond"/>
                <w:color w:val="000000" w:themeColor="text1"/>
                <w:lang w:val="en-US"/>
              </w:rPr>
              <w:t>usa</w:t>
            </w:r>
            <w:proofErr w:type="spellEnd"/>
            <w:r w:rsidRPr="4A046E21">
              <w:rPr>
                <w:rFonts w:ascii="Garamond" w:eastAsia="Garamond" w:hAnsi="Garamond" w:cs="Garamond"/>
                <w:color w:val="000000" w:themeColor="text1"/>
                <w:lang w:val="en-US"/>
              </w:rPr>
              <w:t xml:space="preserve"> and south </w:t>
            </w:r>
            <w:proofErr w:type="spellStart"/>
            <w:r w:rsidRPr="4A046E21">
              <w:rPr>
                <w:rFonts w:ascii="Garamond" w:eastAsia="Garamond" w:hAnsi="Garamond" w:cs="Garamond"/>
                <w:color w:val="000000" w:themeColor="text1"/>
                <w:lang w:val="en-US"/>
              </w:rPr>
              <w:t>korea</w:t>
            </w:r>
            <w:proofErr w:type="spellEnd"/>
            <w:r w:rsidRPr="4A046E21">
              <w:rPr>
                <w:rFonts w:ascii="Garamond" w:eastAsia="Garamond" w:hAnsi="Garamond" w:cs="Garamond"/>
                <w:color w:val="000000" w:themeColor="text1"/>
                <w:lang w:val="en-US"/>
              </w:rPr>
              <w:t xml:space="preserve"> invest way more than us in applied research and development - respectively 90% for </w:t>
            </w:r>
            <w:proofErr w:type="spellStart"/>
            <w:r w:rsidRPr="4A046E21">
              <w:rPr>
                <w:rFonts w:ascii="Garamond" w:eastAsia="Garamond" w:hAnsi="Garamond" w:cs="Garamond"/>
                <w:color w:val="000000" w:themeColor="text1"/>
                <w:lang w:val="en-US"/>
              </w:rPr>
              <w:t>china</w:t>
            </w:r>
            <w:proofErr w:type="spellEnd"/>
            <w:r w:rsidRPr="4A046E21">
              <w:rPr>
                <w:rFonts w:ascii="Garamond" w:eastAsia="Garamond" w:hAnsi="Garamond" w:cs="Garamond"/>
                <w:color w:val="000000" w:themeColor="text1"/>
                <w:lang w:val="en-US"/>
              </w:rPr>
              <w:t xml:space="preserve"> and 76% for the </w:t>
            </w:r>
            <w:proofErr w:type="spellStart"/>
            <w:r w:rsidRPr="4A046E21">
              <w:rPr>
                <w:rFonts w:ascii="Garamond" w:eastAsia="Garamond" w:hAnsi="Garamond" w:cs="Garamond"/>
                <w:color w:val="000000" w:themeColor="text1"/>
                <w:lang w:val="en-US"/>
              </w:rPr>
              <w:t>usa</w:t>
            </w:r>
            <w:proofErr w:type="spellEnd"/>
            <w:r w:rsidRPr="4A046E21">
              <w:rPr>
                <w:rFonts w:ascii="Garamond" w:eastAsia="Garamond" w:hAnsi="Garamond" w:cs="Garamond"/>
                <w:color w:val="000000" w:themeColor="text1"/>
                <w:lang w:val="en-US"/>
              </w:rPr>
              <w:t xml:space="preserve"> and </w:t>
            </w:r>
            <w:proofErr w:type="spellStart"/>
            <w:r w:rsidRPr="4A046E21">
              <w:rPr>
                <w:rFonts w:ascii="Garamond" w:eastAsia="Garamond" w:hAnsi="Garamond" w:cs="Garamond"/>
                <w:color w:val="000000" w:themeColor="text1"/>
                <w:lang w:val="en-US"/>
              </w:rPr>
              <w:t>korea</w:t>
            </w:r>
            <w:proofErr w:type="spellEnd"/>
            <w:r w:rsidRPr="4A046E21">
              <w:rPr>
                <w:rFonts w:ascii="Garamond" w:eastAsia="Garamond" w:hAnsi="Garamond" w:cs="Garamond"/>
                <w:color w:val="000000" w:themeColor="text1"/>
                <w:lang w:val="en-US"/>
              </w:rPr>
              <w:t xml:space="preserve"> – compared to limited resources destined to basic research of the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(approximately 2/3 of total investments)._thus, whereas the </w:t>
            </w:r>
            <w:proofErr w:type="spellStart"/>
            <w:r w:rsidRPr="4A046E21">
              <w:rPr>
                <w:rFonts w:ascii="Garamond" w:eastAsia="Garamond" w:hAnsi="Garamond" w:cs="Garamond"/>
                <w:color w:val="000000" w:themeColor="text1"/>
                <w:lang w:val="en-US"/>
              </w:rPr>
              <w:t>eu</w:t>
            </w:r>
            <w:proofErr w:type="spellEnd"/>
            <w:r w:rsidRPr="4A046E21">
              <w:rPr>
                <w:rFonts w:ascii="Garamond" w:eastAsia="Garamond" w:hAnsi="Garamond" w:cs="Garamond"/>
                <w:color w:val="000000" w:themeColor="text1"/>
                <w:lang w:val="en-US"/>
              </w:rPr>
              <w:t xml:space="preserve"> invests 27% of the total for nanotechnologies at the global level, and 33% of all publications in the sector are </w:t>
            </w:r>
            <w:proofErr w:type="spellStart"/>
            <w:r w:rsidRPr="4A046E21">
              <w:rPr>
                <w:rFonts w:ascii="Garamond" w:eastAsia="Garamond" w:hAnsi="Garamond" w:cs="Garamond"/>
                <w:color w:val="000000" w:themeColor="text1"/>
                <w:lang w:val="en-US"/>
              </w:rPr>
              <w:t>european</w:t>
            </w:r>
            <w:proofErr w:type="spellEnd"/>
            <w:r w:rsidRPr="4A046E21">
              <w:rPr>
                <w:rFonts w:ascii="Garamond" w:eastAsia="Garamond" w:hAnsi="Garamond" w:cs="Garamond"/>
                <w:color w:val="000000" w:themeColor="text1"/>
                <w:lang w:val="en-US"/>
              </w:rPr>
              <w:t xml:space="preserve">, our percentage of licenses is only the 17% compared to 40% in the </w:t>
            </w:r>
            <w:proofErr w:type="spellStart"/>
            <w:r w:rsidRPr="4A046E21">
              <w:rPr>
                <w:rFonts w:ascii="Garamond" w:eastAsia="Garamond" w:hAnsi="Garamond" w:cs="Garamond"/>
                <w:color w:val="000000" w:themeColor="text1"/>
                <w:lang w:val="en-US"/>
              </w:rPr>
              <w:t>usa</w:t>
            </w:r>
            <w:proofErr w:type="spellEnd"/>
            <w:r w:rsidRPr="4A046E21">
              <w:rPr>
                <w:rFonts w:ascii="Garamond" w:eastAsia="Garamond" w:hAnsi="Garamond" w:cs="Garamond"/>
                <w:color w:val="000000" w:themeColor="text1"/>
                <w:lang w:val="en-US"/>
              </w:rPr>
              <w:t xml:space="preserve">; and the amount of production of 15% compared to 53% of the </w:t>
            </w:r>
            <w:proofErr w:type="spellStart"/>
            <w:r w:rsidRPr="4A046E21">
              <w:rPr>
                <w:rFonts w:ascii="Garamond" w:eastAsia="Garamond" w:hAnsi="Garamond" w:cs="Garamond"/>
                <w:color w:val="000000" w:themeColor="text1"/>
                <w:lang w:val="en-US"/>
              </w:rPr>
              <w:t>usa</w:t>
            </w:r>
            <w:proofErr w:type="spellEnd"/>
            <w:r w:rsidRPr="4A046E21">
              <w:rPr>
                <w:rFonts w:ascii="Garamond" w:eastAsia="Garamond" w:hAnsi="Garamond" w:cs="Garamond"/>
                <w:color w:val="000000" w:themeColor="text1"/>
                <w:lang w:val="en-US"/>
              </w:rPr>
              <w:t>.</w:t>
            </w:r>
          </w:p>
        </w:tc>
        <w:tc>
          <w:tcPr>
            <w:tcW w:w="516" w:type="pct"/>
            <w:tcMar>
              <w:left w:w="108" w:type="dxa"/>
              <w:bottom w:w="135" w:type="dxa"/>
              <w:right w:w="115" w:type="dxa"/>
            </w:tcMar>
            <w:vAlign w:val="center"/>
          </w:tcPr>
          <w:p w14:paraId="6C648836" w14:textId="5890B1DB"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t>2</w:t>
            </w:r>
          </w:p>
        </w:tc>
      </w:tr>
      <w:tr w:rsidR="4A046E21" w14:paraId="543DDC85" w14:textId="77777777" w:rsidTr="00A32B4F">
        <w:trPr>
          <w:trHeight w:val="615"/>
        </w:trPr>
        <w:tc>
          <w:tcPr>
            <w:tcW w:w="4484" w:type="pct"/>
            <w:tcBorders>
              <w:left w:val="nil"/>
              <w:bottom w:val="single" w:sz="8" w:space="0" w:color="000000" w:themeColor="text1"/>
              <w:right w:val="nil"/>
            </w:tcBorders>
            <w:tcMar>
              <w:left w:w="108" w:type="dxa"/>
              <w:bottom w:w="135" w:type="dxa"/>
              <w:right w:w="115" w:type="dxa"/>
            </w:tcMar>
            <w:vAlign w:val="bottom"/>
          </w:tcPr>
          <w:p w14:paraId="1AE8BE6D" w14:textId="23D7B480" w:rsidR="4A046E21" w:rsidRDefault="4A046E21" w:rsidP="4A046E21">
            <w:pPr>
              <w:spacing w:line="257" w:lineRule="auto"/>
              <w:rPr>
                <w:rFonts w:ascii="Garamond" w:eastAsia="Garamond" w:hAnsi="Garamond" w:cs="Garamond"/>
                <w:color w:val="000000" w:themeColor="text1"/>
                <w:sz w:val="28"/>
                <w:szCs w:val="28"/>
                <w:lang w:val="en-US"/>
              </w:rPr>
            </w:pPr>
            <w:r w:rsidRPr="4A046E21">
              <w:rPr>
                <w:rFonts w:ascii="Garamond" w:eastAsia="Garamond" w:hAnsi="Garamond" w:cs="Garamond"/>
                <w:color w:val="000000" w:themeColor="text1"/>
                <w:lang w:val="en-US"/>
              </w:rPr>
              <w:t xml:space="preserve">with a budget of nearly €3 billion, which represents an increase of almost €600 million compared to the current funding period, the </w:t>
            </w:r>
            <w:proofErr w:type="spellStart"/>
            <w:r w:rsidRPr="4A046E21">
              <w:rPr>
                <w:rFonts w:ascii="Garamond" w:eastAsia="Garamond" w:hAnsi="Garamond" w:cs="Garamond"/>
                <w:color w:val="000000" w:themeColor="text1"/>
                <w:lang w:val="en-US"/>
              </w:rPr>
              <w:t>eit</w:t>
            </w:r>
            <w:proofErr w:type="spellEnd"/>
            <w:r w:rsidRPr="4A046E21">
              <w:rPr>
                <w:rFonts w:ascii="Garamond" w:eastAsia="Garamond" w:hAnsi="Garamond" w:cs="Garamond"/>
                <w:color w:val="000000" w:themeColor="text1"/>
                <w:lang w:val="en-US"/>
              </w:rPr>
              <w:t xml:space="preserve"> will drive the recovery of the economy as well as the green and digital transition in order to build a more sustainable and resilient </w:t>
            </w:r>
            <w:proofErr w:type="spellStart"/>
            <w:r w:rsidRPr="4A046E21">
              <w:rPr>
                <w:rFonts w:ascii="Garamond" w:eastAsia="Garamond" w:hAnsi="Garamond" w:cs="Garamond"/>
                <w:color w:val="000000" w:themeColor="text1"/>
                <w:lang w:val="en-US"/>
              </w:rPr>
              <w:lastRenderedPageBreak/>
              <w:t>society._the</w:t>
            </w:r>
            <w:proofErr w:type="spellEnd"/>
            <w:r w:rsidRPr="4A046E21">
              <w:rPr>
                <w:rFonts w:ascii="Garamond" w:eastAsia="Garamond" w:hAnsi="Garamond" w:cs="Garamond"/>
                <w:color w:val="000000" w:themeColor="text1"/>
                <w:lang w:val="en-US"/>
              </w:rPr>
              <w:t xml:space="preserve"> </w:t>
            </w:r>
            <w:proofErr w:type="spellStart"/>
            <w:r w:rsidRPr="4A046E21">
              <w:rPr>
                <w:rFonts w:ascii="Garamond" w:eastAsia="Garamond" w:hAnsi="Garamond" w:cs="Garamond"/>
                <w:color w:val="000000" w:themeColor="text1"/>
                <w:lang w:val="en-US"/>
              </w:rPr>
              <w:t>eit</w:t>
            </w:r>
            <w:proofErr w:type="spellEnd"/>
            <w:r w:rsidRPr="4A046E21">
              <w:rPr>
                <w:rFonts w:ascii="Garamond" w:eastAsia="Garamond" w:hAnsi="Garamond" w:cs="Garamond"/>
                <w:color w:val="000000" w:themeColor="text1"/>
                <w:lang w:val="en-US"/>
              </w:rPr>
              <w:t xml:space="preserve"> will boost innovation by involving 750 higher-education institutions in its activities, supporting 30,000 students, bringing 4,000 innovations to the market and promoting 700 start-</w:t>
            </w:r>
            <w:proofErr w:type="spellStart"/>
            <w:r w:rsidRPr="4A046E21">
              <w:rPr>
                <w:rFonts w:ascii="Garamond" w:eastAsia="Garamond" w:hAnsi="Garamond" w:cs="Garamond"/>
                <w:color w:val="000000" w:themeColor="text1"/>
                <w:lang w:val="en-US"/>
              </w:rPr>
              <w:t>ups._the</w:t>
            </w:r>
            <w:proofErr w:type="spellEnd"/>
            <w:r w:rsidRPr="4A046E21">
              <w:rPr>
                <w:rFonts w:ascii="Garamond" w:eastAsia="Garamond" w:hAnsi="Garamond" w:cs="Garamond"/>
                <w:color w:val="000000" w:themeColor="text1"/>
                <w:lang w:val="en-US"/>
              </w:rPr>
              <w:t xml:space="preserve"> </w:t>
            </w:r>
            <w:proofErr w:type="spellStart"/>
            <w:r w:rsidRPr="4A046E21">
              <w:rPr>
                <w:rFonts w:ascii="Garamond" w:eastAsia="Garamond" w:hAnsi="Garamond" w:cs="Garamond"/>
                <w:color w:val="000000" w:themeColor="text1"/>
                <w:lang w:val="en-US"/>
              </w:rPr>
              <w:t>eit</w:t>
            </w:r>
            <w:proofErr w:type="spellEnd"/>
            <w:r w:rsidRPr="4A046E21">
              <w:rPr>
                <w:rFonts w:ascii="Garamond" w:eastAsia="Garamond" w:hAnsi="Garamond" w:cs="Garamond"/>
                <w:color w:val="000000" w:themeColor="text1"/>
                <w:lang w:val="en-US"/>
              </w:rPr>
              <w:t xml:space="preserve"> operates through its knowledge and innovation communities that bring together companies, universities and research </w:t>
            </w:r>
            <w:proofErr w:type="spellStart"/>
            <w:r w:rsidRPr="4A046E21">
              <w:rPr>
                <w:rFonts w:ascii="Garamond" w:eastAsia="Garamond" w:hAnsi="Garamond" w:cs="Garamond"/>
                <w:color w:val="000000" w:themeColor="text1"/>
                <w:lang w:val="en-US"/>
              </w:rPr>
              <w:t>centres</w:t>
            </w:r>
            <w:proofErr w:type="spellEnd"/>
            <w:r w:rsidRPr="4A046E21">
              <w:rPr>
                <w:rFonts w:ascii="Garamond" w:eastAsia="Garamond" w:hAnsi="Garamond" w:cs="Garamond"/>
                <w:color w:val="000000" w:themeColor="text1"/>
                <w:lang w:val="en-US"/>
              </w:rPr>
              <w:t xml:space="preserve"> across </w:t>
            </w:r>
            <w:proofErr w:type="spellStart"/>
            <w:r w:rsidRPr="4A046E21">
              <w:rPr>
                <w:rFonts w:ascii="Garamond" w:eastAsia="Garamond" w:hAnsi="Garamond" w:cs="Garamond"/>
                <w:color w:val="000000" w:themeColor="text1"/>
                <w:lang w:val="en-US"/>
              </w:rPr>
              <w:t>europe</w:t>
            </w:r>
            <w:proofErr w:type="spellEnd"/>
            <w:r w:rsidRPr="4A046E21">
              <w:rPr>
                <w:rFonts w:ascii="Garamond" w:eastAsia="Garamond" w:hAnsi="Garamond" w:cs="Garamond"/>
                <w:color w:val="000000" w:themeColor="text1"/>
                <w:lang w:val="en-US"/>
              </w:rPr>
              <w:t>.</w:t>
            </w:r>
          </w:p>
        </w:tc>
        <w:tc>
          <w:tcPr>
            <w:tcW w:w="516" w:type="pct"/>
            <w:tcBorders>
              <w:left w:val="nil"/>
              <w:bottom w:val="single" w:sz="8" w:space="0" w:color="000000" w:themeColor="text1"/>
              <w:right w:val="nil"/>
            </w:tcBorders>
            <w:tcMar>
              <w:left w:w="108" w:type="dxa"/>
              <w:bottom w:w="135" w:type="dxa"/>
              <w:right w:w="115" w:type="dxa"/>
            </w:tcMar>
            <w:vAlign w:val="center"/>
          </w:tcPr>
          <w:p w14:paraId="576B6E0B" w14:textId="51685640" w:rsidR="4A046E21" w:rsidRDefault="4A046E21" w:rsidP="4A046E21">
            <w:pPr>
              <w:spacing w:line="257" w:lineRule="auto"/>
              <w:jc w:val="center"/>
              <w:rPr>
                <w:rFonts w:ascii="Garamond" w:eastAsia="Garamond" w:hAnsi="Garamond" w:cs="Garamond"/>
                <w:sz w:val="28"/>
                <w:szCs w:val="28"/>
                <w:lang w:val="en-GB"/>
              </w:rPr>
            </w:pPr>
            <w:r w:rsidRPr="4A046E21">
              <w:rPr>
                <w:rFonts w:ascii="Garamond" w:eastAsia="Garamond" w:hAnsi="Garamond" w:cs="Garamond"/>
                <w:lang w:val="en-GB"/>
              </w:rPr>
              <w:lastRenderedPageBreak/>
              <w:t>2</w:t>
            </w:r>
          </w:p>
        </w:tc>
      </w:tr>
    </w:tbl>
    <w:p w14:paraId="50ECC4BC" w14:textId="3B81F936" w:rsidR="4A046E21" w:rsidRDefault="4A046E21" w:rsidP="4A046E21">
      <w:pPr>
        <w:spacing w:line="257" w:lineRule="auto"/>
      </w:pPr>
      <w:r w:rsidRPr="4A046E21">
        <w:rPr>
          <w:rFonts w:ascii="Garamond" w:eastAsia="Garamond" w:hAnsi="Garamond" w:cs="Garamond"/>
          <w:sz w:val="22"/>
          <w:szCs w:val="22"/>
          <w:lang w:val="en-GB"/>
        </w:rPr>
        <w:t xml:space="preserve"> </w:t>
      </w:r>
    </w:p>
    <w:p w14:paraId="5D9D7EBB" w14:textId="77777777" w:rsidR="00FB2A41" w:rsidRDefault="00FB2A41">
      <w:pPr>
        <w:spacing w:after="300"/>
        <w:rPr>
          <w:rFonts w:ascii="Garamond" w:hAnsi="Garamond"/>
          <w:b/>
          <w:bCs/>
          <w:lang w:val="en-US"/>
        </w:rPr>
      </w:pPr>
      <w:r>
        <w:rPr>
          <w:rFonts w:ascii="Garamond" w:hAnsi="Garamond"/>
          <w:b/>
          <w:bCs/>
          <w:lang w:val="en-US"/>
        </w:rPr>
        <w:br w:type="page"/>
      </w:r>
    </w:p>
    <w:p w14:paraId="62FBC20C" w14:textId="77777777" w:rsidR="00FB2A41" w:rsidRDefault="00FB2A41" w:rsidP="00FB2A41">
      <w:pPr>
        <w:pStyle w:val="ListParagraph"/>
        <w:numPr>
          <w:ilvl w:val="0"/>
          <w:numId w:val="1"/>
        </w:numPr>
        <w:spacing w:after="300"/>
        <w:rPr>
          <w:rFonts w:ascii="Garamond" w:hAnsi="Garamond"/>
          <w:b/>
          <w:bCs/>
          <w:lang w:val="en-US"/>
        </w:rPr>
        <w:sectPr w:rsidR="00FB2A41">
          <w:pgSz w:w="12240" w:h="15840"/>
          <w:pgMar w:top="1440" w:right="1440" w:bottom="1440" w:left="1440" w:header="708" w:footer="708" w:gutter="0"/>
          <w:cols w:space="708"/>
          <w:docGrid w:linePitch="360"/>
        </w:sectPr>
      </w:pPr>
    </w:p>
    <w:p w14:paraId="12A11011" w14:textId="77777777" w:rsidR="00FB2A41" w:rsidRDefault="00FB2A41" w:rsidP="00FB2A41">
      <w:pPr>
        <w:pStyle w:val="ListParagraph"/>
        <w:numPr>
          <w:ilvl w:val="0"/>
          <w:numId w:val="1"/>
        </w:numPr>
        <w:spacing w:after="300"/>
        <w:rPr>
          <w:rFonts w:ascii="Garamond" w:hAnsi="Garamond"/>
          <w:b/>
          <w:bCs/>
          <w:lang w:val="en-US"/>
        </w:rPr>
      </w:pPr>
      <w:r>
        <w:rPr>
          <w:rFonts w:ascii="Garamond" w:hAnsi="Garamond"/>
          <w:b/>
          <w:bCs/>
          <w:lang w:val="en-US"/>
        </w:rPr>
        <w:lastRenderedPageBreak/>
        <w:t>Programs and policies justified for technological sovereignty and contributing to geo-</w:t>
      </w:r>
      <w:proofErr w:type="gramStart"/>
      <w:r>
        <w:rPr>
          <w:rFonts w:ascii="Garamond" w:hAnsi="Garamond"/>
          <w:b/>
          <w:bCs/>
          <w:lang w:val="en-US"/>
        </w:rPr>
        <w:t>dirigisme</w:t>
      </w:r>
      <w:proofErr w:type="gramEnd"/>
    </w:p>
    <w:tbl>
      <w:tblPr>
        <w:tblStyle w:val="TableGrid"/>
        <w:tblpPr w:leftFromText="141" w:rightFromText="141" w:vertAnchor="text" w:horzAnchor="margin" w:tblpY="184"/>
        <w:tblW w:w="137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6"/>
        <w:gridCol w:w="1293"/>
        <w:gridCol w:w="4319"/>
        <w:gridCol w:w="3118"/>
        <w:gridCol w:w="709"/>
        <w:gridCol w:w="2835"/>
      </w:tblGrid>
      <w:tr w:rsidR="00FB2A41" w:rsidRPr="00D66576" w14:paraId="6805C197" w14:textId="77777777" w:rsidTr="005E388A">
        <w:trPr>
          <w:trHeight w:val="300"/>
        </w:trPr>
        <w:tc>
          <w:tcPr>
            <w:tcW w:w="1476" w:type="dxa"/>
            <w:tcBorders>
              <w:top w:val="single" w:sz="4" w:space="0" w:color="auto"/>
              <w:bottom w:val="single" w:sz="4" w:space="0" w:color="auto"/>
            </w:tcBorders>
          </w:tcPr>
          <w:p w14:paraId="70BF5317" w14:textId="77777777" w:rsidR="00FB2A41" w:rsidRPr="00FB2A41" w:rsidRDefault="00FB2A41" w:rsidP="00FB2A41">
            <w:pPr>
              <w:pStyle w:val="ListParagraph"/>
              <w:numPr>
                <w:ilvl w:val="0"/>
                <w:numId w:val="1"/>
              </w:numPr>
              <w:spacing w:line="276" w:lineRule="auto"/>
              <w:rPr>
                <w:rFonts w:ascii="Garamond" w:hAnsi="Garamond"/>
                <w:b/>
                <w:bCs/>
                <w:sz w:val="21"/>
                <w:szCs w:val="21"/>
                <w:lang w:val="en-US"/>
              </w:rPr>
            </w:pPr>
            <w:bookmarkStart w:id="0" w:name="_Hlk139567286"/>
            <w:r w:rsidRPr="00FB2A41">
              <w:rPr>
                <w:rFonts w:ascii="Garamond" w:hAnsi="Garamond"/>
                <w:b/>
                <w:bCs/>
                <w:sz w:val="21"/>
                <w:szCs w:val="21"/>
                <w:lang w:val="en-US"/>
              </w:rPr>
              <w:t>Program</w:t>
            </w:r>
          </w:p>
        </w:tc>
        <w:tc>
          <w:tcPr>
            <w:tcW w:w="1293" w:type="dxa"/>
            <w:tcBorders>
              <w:top w:val="single" w:sz="4" w:space="0" w:color="auto"/>
              <w:bottom w:val="single" w:sz="4" w:space="0" w:color="auto"/>
            </w:tcBorders>
          </w:tcPr>
          <w:p w14:paraId="76E38CBE" w14:textId="77777777" w:rsidR="00FB2A41" w:rsidRPr="00D66576" w:rsidRDefault="00FB2A41" w:rsidP="005E388A">
            <w:pPr>
              <w:spacing w:line="276" w:lineRule="auto"/>
              <w:contextualSpacing/>
              <w:rPr>
                <w:rFonts w:ascii="Garamond" w:hAnsi="Garamond"/>
                <w:b/>
                <w:bCs/>
                <w:sz w:val="21"/>
                <w:szCs w:val="21"/>
                <w:lang w:val="en-US"/>
              </w:rPr>
            </w:pPr>
            <w:r w:rsidRPr="00D66576">
              <w:rPr>
                <w:rFonts w:ascii="Garamond" w:hAnsi="Garamond"/>
                <w:b/>
                <w:bCs/>
                <w:sz w:val="21"/>
                <w:szCs w:val="21"/>
                <w:lang w:val="en-US"/>
              </w:rPr>
              <w:t>Launch date</w:t>
            </w:r>
          </w:p>
        </w:tc>
        <w:tc>
          <w:tcPr>
            <w:tcW w:w="4319" w:type="dxa"/>
            <w:tcBorders>
              <w:top w:val="single" w:sz="4" w:space="0" w:color="auto"/>
              <w:bottom w:val="single" w:sz="4" w:space="0" w:color="auto"/>
            </w:tcBorders>
          </w:tcPr>
          <w:p w14:paraId="129B4ABD" w14:textId="77777777" w:rsidR="00FB2A41" w:rsidRPr="00D66576" w:rsidRDefault="00FB2A41" w:rsidP="005E388A">
            <w:pPr>
              <w:spacing w:line="276" w:lineRule="auto"/>
              <w:contextualSpacing/>
              <w:rPr>
                <w:rFonts w:ascii="Garamond" w:hAnsi="Garamond"/>
                <w:b/>
                <w:bCs/>
                <w:sz w:val="21"/>
                <w:szCs w:val="21"/>
                <w:lang w:val="en-US"/>
              </w:rPr>
            </w:pPr>
            <w:r w:rsidRPr="00D66576">
              <w:rPr>
                <w:rFonts w:ascii="Garamond" w:hAnsi="Garamond"/>
                <w:b/>
                <w:bCs/>
                <w:sz w:val="21"/>
                <w:szCs w:val="21"/>
                <w:lang w:val="en-US"/>
              </w:rPr>
              <w:t>Contribution to digital / technological sovereignty</w:t>
            </w:r>
          </w:p>
        </w:tc>
        <w:tc>
          <w:tcPr>
            <w:tcW w:w="3118" w:type="dxa"/>
            <w:tcBorders>
              <w:top w:val="single" w:sz="4" w:space="0" w:color="auto"/>
              <w:bottom w:val="single" w:sz="4" w:space="0" w:color="auto"/>
            </w:tcBorders>
          </w:tcPr>
          <w:p w14:paraId="6A8EF5EC" w14:textId="77777777" w:rsidR="00FB2A41" w:rsidRPr="00D66576" w:rsidRDefault="00FB2A41" w:rsidP="005E388A">
            <w:pPr>
              <w:spacing w:line="276" w:lineRule="auto"/>
              <w:rPr>
                <w:rFonts w:ascii="Garamond" w:hAnsi="Garamond"/>
                <w:b/>
                <w:bCs/>
                <w:sz w:val="21"/>
                <w:szCs w:val="21"/>
                <w:lang w:val="en-US"/>
              </w:rPr>
            </w:pPr>
            <w:r w:rsidRPr="00D66576">
              <w:rPr>
                <w:rFonts w:ascii="Garamond" w:hAnsi="Garamond"/>
                <w:b/>
                <w:bCs/>
                <w:sz w:val="21"/>
                <w:szCs w:val="21"/>
                <w:lang w:val="en-US"/>
              </w:rPr>
              <w:t>Geo-dirigiste characteristics</w:t>
            </w:r>
          </w:p>
        </w:tc>
        <w:tc>
          <w:tcPr>
            <w:tcW w:w="709" w:type="dxa"/>
            <w:tcBorders>
              <w:top w:val="single" w:sz="4" w:space="0" w:color="auto"/>
              <w:bottom w:val="single" w:sz="4" w:space="0" w:color="auto"/>
            </w:tcBorders>
          </w:tcPr>
          <w:p w14:paraId="097D4098" w14:textId="77777777" w:rsidR="00FB2A41" w:rsidRPr="00D66576" w:rsidRDefault="00FB2A41" w:rsidP="005E388A">
            <w:pPr>
              <w:spacing w:line="276" w:lineRule="auto"/>
              <w:rPr>
                <w:rFonts w:ascii="Garamond" w:hAnsi="Garamond"/>
                <w:b/>
                <w:bCs/>
                <w:sz w:val="21"/>
                <w:szCs w:val="21"/>
                <w:lang w:val="en-US"/>
              </w:rPr>
            </w:pPr>
            <w:r w:rsidRPr="00D66576">
              <w:rPr>
                <w:rFonts w:ascii="Garamond" w:hAnsi="Garamond"/>
                <w:b/>
                <w:bCs/>
                <w:sz w:val="21"/>
                <w:szCs w:val="21"/>
                <w:lang w:val="en-US"/>
              </w:rPr>
              <w:t>Status</w:t>
            </w:r>
          </w:p>
        </w:tc>
        <w:tc>
          <w:tcPr>
            <w:tcW w:w="2835" w:type="dxa"/>
            <w:tcBorders>
              <w:top w:val="single" w:sz="4" w:space="0" w:color="auto"/>
              <w:bottom w:val="single" w:sz="4" w:space="0" w:color="auto"/>
            </w:tcBorders>
          </w:tcPr>
          <w:p w14:paraId="2523C33D" w14:textId="77777777" w:rsidR="00FB2A41" w:rsidRPr="00D66576" w:rsidRDefault="00FB2A41" w:rsidP="005E388A">
            <w:pPr>
              <w:spacing w:line="276" w:lineRule="auto"/>
              <w:contextualSpacing/>
              <w:rPr>
                <w:rFonts w:ascii="Garamond" w:hAnsi="Garamond"/>
                <w:b/>
                <w:bCs/>
                <w:sz w:val="21"/>
                <w:szCs w:val="21"/>
                <w:lang w:val="en-US"/>
              </w:rPr>
            </w:pPr>
            <w:r w:rsidRPr="00D66576">
              <w:rPr>
                <w:rFonts w:ascii="Garamond" w:hAnsi="Garamond"/>
                <w:b/>
                <w:bCs/>
                <w:sz w:val="21"/>
                <w:szCs w:val="21"/>
                <w:lang w:val="en-US"/>
              </w:rPr>
              <w:t>Funding</w:t>
            </w:r>
          </w:p>
        </w:tc>
      </w:tr>
      <w:tr w:rsidR="00FB2A41" w:rsidRPr="00D66576" w14:paraId="2C76FB88" w14:textId="77777777" w:rsidTr="005E388A">
        <w:trPr>
          <w:trHeight w:val="300"/>
        </w:trPr>
        <w:tc>
          <w:tcPr>
            <w:tcW w:w="1476" w:type="dxa"/>
            <w:tcBorders>
              <w:top w:val="single" w:sz="4" w:space="0" w:color="auto"/>
            </w:tcBorders>
          </w:tcPr>
          <w:p w14:paraId="3FE0B42B"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 xml:space="preserve">European Institute of Innovation &amp; Technology </w:t>
            </w:r>
          </w:p>
          <w:p w14:paraId="2A6CA832"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(EIT)</w:t>
            </w:r>
          </w:p>
        </w:tc>
        <w:tc>
          <w:tcPr>
            <w:tcW w:w="1293" w:type="dxa"/>
            <w:tcBorders>
              <w:top w:val="single" w:sz="4" w:space="0" w:color="auto"/>
            </w:tcBorders>
          </w:tcPr>
          <w:p w14:paraId="257D4016"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2008</w:t>
            </w:r>
          </w:p>
        </w:tc>
        <w:tc>
          <w:tcPr>
            <w:tcW w:w="4319" w:type="dxa"/>
            <w:tcBorders>
              <w:top w:val="single" w:sz="4" w:space="0" w:color="auto"/>
            </w:tcBorders>
          </w:tcPr>
          <w:p w14:paraId="51104F21"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‘[R]</w:t>
            </w:r>
            <w:proofErr w:type="spellStart"/>
            <w:r w:rsidRPr="00D66576">
              <w:rPr>
                <w:rFonts w:ascii="Garamond" w:hAnsi="Garamond"/>
                <w:sz w:val="21"/>
                <w:szCs w:val="21"/>
                <w:lang w:val="en-US"/>
              </w:rPr>
              <w:t>einforcing</w:t>
            </w:r>
            <w:proofErr w:type="spellEnd"/>
            <w:r w:rsidRPr="00D66576">
              <w:rPr>
                <w:rFonts w:ascii="Garamond" w:hAnsi="Garamond"/>
                <w:sz w:val="21"/>
                <w:szCs w:val="21"/>
                <w:lang w:val="en-US"/>
              </w:rPr>
              <w:t xml:space="preserve"> the innovation capacity of the Union and Member States’ by ‘achieving Europe’s strategic autonomy’</w:t>
            </w:r>
          </w:p>
        </w:tc>
        <w:tc>
          <w:tcPr>
            <w:tcW w:w="3118" w:type="dxa"/>
            <w:tcBorders>
              <w:top w:val="single" w:sz="4" w:space="0" w:color="auto"/>
            </w:tcBorders>
          </w:tcPr>
          <w:p w14:paraId="79B8753C"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Focus on brokering alliances in specific value chains &amp; sectors to bolster strategic autonomy.</w:t>
            </w:r>
          </w:p>
        </w:tc>
        <w:tc>
          <w:tcPr>
            <w:tcW w:w="709" w:type="dxa"/>
            <w:tcBorders>
              <w:top w:val="single" w:sz="4" w:space="0" w:color="auto"/>
            </w:tcBorders>
          </w:tcPr>
          <w:p w14:paraId="34766D3E"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Active</w:t>
            </w:r>
          </w:p>
        </w:tc>
        <w:tc>
          <w:tcPr>
            <w:tcW w:w="2835" w:type="dxa"/>
            <w:tcBorders>
              <w:top w:val="single" w:sz="4" w:space="0" w:color="auto"/>
            </w:tcBorders>
          </w:tcPr>
          <w:p w14:paraId="3E49B379"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€3 billion from MFF between 2021-27</w:t>
            </w:r>
          </w:p>
        </w:tc>
      </w:tr>
      <w:tr w:rsidR="00FB2A41" w:rsidRPr="00537743" w14:paraId="5A9FD699" w14:textId="77777777" w:rsidTr="005E388A">
        <w:trPr>
          <w:trHeight w:val="300"/>
        </w:trPr>
        <w:tc>
          <w:tcPr>
            <w:tcW w:w="1476" w:type="dxa"/>
          </w:tcPr>
          <w:p w14:paraId="6B9C4A53"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Important Projects of Common European Interest (IPCEI)</w:t>
            </w:r>
          </w:p>
        </w:tc>
        <w:tc>
          <w:tcPr>
            <w:tcW w:w="1293" w:type="dxa"/>
          </w:tcPr>
          <w:p w14:paraId="65DC3BA6"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2014</w:t>
            </w:r>
          </w:p>
        </w:tc>
        <w:tc>
          <w:tcPr>
            <w:tcW w:w="4319" w:type="dxa"/>
          </w:tcPr>
          <w:p w14:paraId="4CE945EA"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‘IPCEIs (…) strengthen open strategic autonomy, by enabling breakthrough innovation and infrastructure projects’</w:t>
            </w:r>
          </w:p>
        </w:tc>
        <w:tc>
          <w:tcPr>
            <w:tcW w:w="3118" w:type="dxa"/>
          </w:tcPr>
          <w:p w14:paraId="2C2C1074"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The use of state aid direct resources towards high-tech projects and sectors in which the EU is not (yet) or no longer globally competitive.</w:t>
            </w:r>
          </w:p>
        </w:tc>
        <w:tc>
          <w:tcPr>
            <w:tcW w:w="709" w:type="dxa"/>
          </w:tcPr>
          <w:p w14:paraId="318001F1"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Active</w:t>
            </w:r>
          </w:p>
        </w:tc>
        <w:tc>
          <w:tcPr>
            <w:tcW w:w="2835" w:type="dxa"/>
          </w:tcPr>
          <w:p w14:paraId="16D73F30"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State aid + private investment. Over €60 billion expected in current projects.</w:t>
            </w:r>
          </w:p>
        </w:tc>
      </w:tr>
      <w:tr w:rsidR="00FB2A41" w:rsidRPr="00D66576" w14:paraId="7EBD2E87" w14:textId="77777777" w:rsidTr="005E388A">
        <w:trPr>
          <w:trHeight w:val="742"/>
        </w:trPr>
        <w:tc>
          <w:tcPr>
            <w:tcW w:w="1476" w:type="dxa"/>
          </w:tcPr>
          <w:p w14:paraId="40F89455"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Industrial alliances</w:t>
            </w:r>
          </w:p>
        </w:tc>
        <w:tc>
          <w:tcPr>
            <w:tcW w:w="1293" w:type="dxa"/>
          </w:tcPr>
          <w:p w14:paraId="1B5F582C"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2017</w:t>
            </w:r>
          </w:p>
        </w:tc>
        <w:tc>
          <w:tcPr>
            <w:tcW w:w="4319" w:type="dxa"/>
          </w:tcPr>
          <w:p w14:paraId="33C65AEA"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‘Build[</w:t>
            </w:r>
            <w:proofErr w:type="spellStart"/>
            <w:r w:rsidRPr="00D66576">
              <w:rPr>
                <w:rFonts w:ascii="Garamond" w:hAnsi="Garamond"/>
                <w:sz w:val="21"/>
                <w:szCs w:val="21"/>
                <w:lang w:val="en-US"/>
              </w:rPr>
              <w:t>ing</w:t>
            </w:r>
            <w:proofErr w:type="spellEnd"/>
            <w:r w:rsidRPr="00D66576">
              <w:rPr>
                <w:rFonts w:ascii="Garamond" w:hAnsi="Garamond"/>
                <w:sz w:val="21"/>
                <w:szCs w:val="21"/>
                <w:lang w:val="en-US"/>
              </w:rPr>
              <w:t>] resilience and strategic autonomy’ for strategic value chains (…) ‘make European economies more resilient, ensure the global competitiveness of our industry’.</w:t>
            </w:r>
          </w:p>
        </w:tc>
        <w:tc>
          <w:tcPr>
            <w:tcW w:w="3118" w:type="dxa"/>
          </w:tcPr>
          <w:p w14:paraId="5B9A8F0F"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Similar to EIT, the EU Commission seeks to broker alliances in strategic value chains for geopolitical reasons.</w:t>
            </w:r>
          </w:p>
        </w:tc>
        <w:tc>
          <w:tcPr>
            <w:tcW w:w="709" w:type="dxa"/>
          </w:tcPr>
          <w:p w14:paraId="536F1A4D"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Active</w:t>
            </w:r>
          </w:p>
        </w:tc>
        <w:tc>
          <w:tcPr>
            <w:tcW w:w="2835" w:type="dxa"/>
          </w:tcPr>
          <w:p w14:paraId="6850CC5E"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n/a</w:t>
            </w:r>
          </w:p>
        </w:tc>
      </w:tr>
      <w:tr w:rsidR="00FB2A41" w:rsidRPr="00537743" w14:paraId="0D45E49F" w14:textId="77777777" w:rsidTr="005E388A">
        <w:trPr>
          <w:trHeight w:val="300"/>
        </w:trPr>
        <w:tc>
          <w:tcPr>
            <w:tcW w:w="1476" w:type="dxa"/>
          </w:tcPr>
          <w:p w14:paraId="3AAEDEF7"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Chips Act</w:t>
            </w:r>
          </w:p>
        </w:tc>
        <w:tc>
          <w:tcPr>
            <w:tcW w:w="1293" w:type="dxa"/>
          </w:tcPr>
          <w:p w14:paraId="61AC6F30" w14:textId="77777777" w:rsidR="00FB2A41" w:rsidRPr="00D66576" w:rsidRDefault="00FB2A41" w:rsidP="005E388A">
            <w:pPr>
              <w:spacing w:line="276" w:lineRule="auto"/>
              <w:contextualSpacing/>
              <w:rPr>
                <w:rFonts w:ascii="Garamond" w:hAnsi="Garamond"/>
                <w:sz w:val="21"/>
                <w:szCs w:val="21"/>
                <w:vertAlign w:val="superscript"/>
                <w:lang w:val="en-US"/>
              </w:rPr>
            </w:pPr>
            <w:r w:rsidRPr="00D66576">
              <w:rPr>
                <w:rFonts w:ascii="Garamond" w:hAnsi="Garamond"/>
                <w:sz w:val="21"/>
                <w:szCs w:val="21"/>
                <w:lang w:val="en-US"/>
              </w:rPr>
              <w:t>2022</w:t>
            </w:r>
          </w:p>
        </w:tc>
        <w:tc>
          <w:tcPr>
            <w:tcW w:w="4319" w:type="dxa"/>
          </w:tcPr>
          <w:p w14:paraId="2F326CE4"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‘[T]his is not just a matter of our competitiveness. This is also a matter of tech sovereignty.’ The Chips Act aims to reduce ‘the extreme global dependency of the semiconductor value chain (…) in a complex geopolitical context’.</w:t>
            </w:r>
          </w:p>
        </w:tc>
        <w:tc>
          <w:tcPr>
            <w:tcW w:w="3118" w:type="dxa"/>
          </w:tcPr>
          <w:p w14:paraId="3C88223F"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Sector-specific investment in critical value chain for geopolitical reasons.</w:t>
            </w:r>
          </w:p>
        </w:tc>
        <w:tc>
          <w:tcPr>
            <w:tcW w:w="709" w:type="dxa"/>
          </w:tcPr>
          <w:p w14:paraId="4D96A64C"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Active</w:t>
            </w:r>
          </w:p>
        </w:tc>
        <w:tc>
          <w:tcPr>
            <w:tcW w:w="2835" w:type="dxa"/>
          </w:tcPr>
          <w:p w14:paraId="2776A287"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€43 billion from Chips for Europe Initiative, equity to business, and RRF + IPCEI funding</w:t>
            </w:r>
          </w:p>
        </w:tc>
      </w:tr>
      <w:tr w:rsidR="00FB2A41" w:rsidRPr="00537743" w14:paraId="598DCD43" w14:textId="77777777" w:rsidTr="005E388A">
        <w:trPr>
          <w:trHeight w:val="300"/>
        </w:trPr>
        <w:tc>
          <w:tcPr>
            <w:tcW w:w="1476" w:type="dxa"/>
          </w:tcPr>
          <w:p w14:paraId="4D60577E" w14:textId="77777777" w:rsidR="00FB2A41" w:rsidRPr="00D66576" w:rsidRDefault="00FB2A41" w:rsidP="005E388A">
            <w:pPr>
              <w:spacing w:line="276" w:lineRule="auto"/>
              <w:contextualSpacing/>
              <w:rPr>
                <w:rFonts w:ascii="Garamond" w:hAnsi="Garamond"/>
                <w:sz w:val="21"/>
                <w:szCs w:val="21"/>
                <w:lang w:val="en-US"/>
              </w:rPr>
            </w:pPr>
            <w:proofErr w:type="spellStart"/>
            <w:r w:rsidRPr="00D66576">
              <w:rPr>
                <w:rFonts w:ascii="Garamond" w:hAnsi="Garamond"/>
                <w:sz w:val="21"/>
                <w:szCs w:val="21"/>
                <w:lang w:val="en-US"/>
              </w:rPr>
              <w:t>REPowerEU</w:t>
            </w:r>
            <w:proofErr w:type="spellEnd"/>
          </w:p>
        </w:tc>
        <w:tc>
          <w:tcPr>
            <w:tcW w:w="1293" w:type="dxa"/>
          </w:tcPr>
          <w:p w14:paraId="04094B4D"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2022</w:t>
            </w:r>
          </w:p>
        </w:tc>
        <w:tc>
          <w:tcPr>
            <w:tcW w:w="4319" w:type="dxa"/>
          </w:tcPr>
          <w:p w14:paraId="739A8A3B"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 xml:space="preserve">‘In addition to strengthening the EU’s strategic autonomy in the energy sector, </w:t>
            </w:r>
            <w:proofErr w:type="spellStart"/>
            <w:r w:rsidRPr="00D66576">
              <w:rPr>
                <w:rFonts w:ascii="Garamond" w:hAnsi="Garamond"/>
                <w:sz w:val="21"/>
                <w:szCs w:val="21"/>
                <w:lang w:val="en-US"/>
              </w:rPr>
              <w:t>REPowerEU</w:t>
            </w:r>
            <w:proofErr w:type="spellEnd"/>
            <w:r w:rsidRPr="00D66576">
              <w:rPr>
                <w:rFonts w:ascii="Garamond" w:hAnsi="Garamond"/>
                <w:sz w:val="21"/>
                <w:szCs w:val="21"/>
                <w:lang w:val="en-US"/>
              </w:rPr>
              <w:t xml:space="preserve"> focuses on supporting the clean energy transition (…) for a more resilient energy system’</w:t>
            </w:r>
          </w:p>
        </w:tc>
        <w:tc>
          <w:tcPr>
            <w:tcW w:w="3118" w:type="dxa"/>
          </w:tcPr>
          <w:p w14:paraId="0AB601A8"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De-risking energy supply in the face of geopolitical tensions.</w:t>
            </w:r>
          </w:p>
        </w:tc>
        <w:tc>
          <w:tcPr>
            <w:tcW w:w="709" w:type="dxa"/>
          </w:tcPr>
          <w:p w14:paraId="036A4634"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Active</w:t>
            </w:r>
          </w:p>
        </w:tc>
        <w:tc>
          <w:tcPr>
            <w:tcW w:w="2835" w:type="dxa"/>
          </w:tcPr>
          <w:p w14:paraId="1F13E6E6"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€225 billion through remaining RRF loans, €20 billion in grants from Innovation Fund (60%) and ETS allowances (40%).</w:t>
            </w:r>
          </w:p>
        </w:tc>
      </w:tr>
      <w:tr w:rsidR="00FB2A41" w:rsidRPr="00537743" w14:paraId="6532344D" w14:textId="77777777" w:rsidTr="005E388A">
        <w:trPr>
          <w:trHeight w:val="300"/>
        </w:trPr>
        <w:tc>
          <w:tcPr>
            <w:tcW w:w="1476" w:type="dxa"/>
          </w:tcPr>
          <w:p w14:paraId="300856A9"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lastRenderedPageBreak/>
              <w:t>Tech champions</w:t>
            </w:r>
          </w:p>
        </w:tc>
        <w:tc>
          <w:tcPr>
            <w:tcW w:w="1293" w:type="dxa"/>
          </w:tcPr>
          <w:p w14:paraId="4AF16AA2"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2023</w:t>
            </w:r>
          </w:p>
        </w:tc>
        <w:tc>
          <w:tcPr>
            <w:tcW w:w="4319" w:type="dxa"/>
          </w:tcPr>
          <w:p w14:paraId="2A94AF81"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‘ETCI will help plug financing gaps and thus reinforce Europe’s strategic autonomy and competitiveness.’</w:t>
            </w:r>
          </w:p>
        </w:tc>
        <w:tc>
          <w:tcPr>
            <w:tcW w:w="3118" w:type="dxa"/>
          </w:tcPr>
          <w:p w14:paraId="251DBBDC"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Scaling up start-ups in high-tech areas where the EU competes with U.S. and Chinese firms.</w:t>
            </w:r>
          </w:p>
        </w:tc>
        <w:tc>
          <w:tcPr>
            <w:tcW w:w="709" w:type="dxa"/>
          </w:tcPr>
          <w:p w14:paraId="00BCB227"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Proposed</w:t>
            </w:r>
          </w:p>
        </w:tc>
        <w:tc>
          <w:tcPr>
            <w:tcW w:w="2835" w:type="dxa"/>
          </w:tcPr>
          <w:p w14:paraId="620B43BA"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€3.75 billion through EIB and member state funds.</w:t>
            </w:r>
          </w:p>
        </w:tc>
      </w:tr>
      <w:tr w:rsidR="00FB2A41" w:rsidRPr="00537743" w14:paraId="315D5122" w14:textId="77777777" w:rsidTr="005E388A">
        <w:trPr>
          <w:trHeight w:val="300"/>
        </w:trPr>
        <w:tc>
          <w:tcPr>
            <w:tcW w:w="1476" w:type="dxa"/>
          </w:tcPr>
          <w:p w14:paraId="520D4B55"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Green Deal Industrial Plan (GDIP)</w:t>
            </w:r>
          </w:p>
        </w:tc>
        <w:tc>
          <w:tcPr>
            <w:tcW w:w="1293" w:type="dxa"/>
          </w:tcPr>
          <w:p w14:paraId="630FE227"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2023</w:t>
            </w:r>
            <w:r w:rsidRPr="00D66576">
              <w:rPr>
                <w:rFonts w:ascii="Garamond" w:hAnsi="Garamond"/>
                <w:sz w:val="21"/>
                <w:szCs w:val="21"/>
                <w:vertAlign w:val="superscript"/>
                <w:lang w:val="en-US"/>
              </w:rPr>
              <w:t>*</w:t>
            </w:r>
          </w:p>
        </w:tc>
        <w:tc>
          <w:tcPr>
            <w:tcW w:w="4319" w:type="dxa"/>
          </w:tcPr>
          <w:p w14:paraId="7363F00B"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w:t>
            </w:r>
            <w:proofErr w:type="gramStart"/>
            <w:r w:rsidRPr="00D66576">
              <w:rPr>
                <w:rFonts w:ascii="Garamond" w:hAnsi="Garamond"/>
                <w:sz w:val="21"/>
                <w:szCs w:val="21"/>
                <w:lang w:val="en-US"/>
              </w:rPr>
              <w:t>to</w:t>
            </w:r>
            <w:proofErr w:type="gramEnd"/>
            <w:r w:rsidRPr="00D66576">
              <w:rPr>
                <w:rFonts w:ascii="Garamond" w:hAnsi="Garamond"/>
                <w:sz w:val="21"/>
                <w:szCs w:val="21"/>
                <w:lang w:val="en-US"/>
              </w:rPr>
              <w:t xml:space="preserve"> secure the EU's industrial lead in the fast-growing net-zero technology sector’</w:t>
            </w:r>
          </w:p>
          <w:p w14:paraId="5BFCDC31" w14:textId="77777777" w:rsidR="00FB2A41" w:rsidRPr="00D66576" w:rsidRDefault="00FB2A41" w:rsidP="005E388A">
            <w:pPr>
              <w:spacing w:line="276" w:lineRule="auto"/>
              <w:contextualSpacing/>
              <w:rPr>
                <w:rFonts w:ascii="Garamond" w:hAnsi="Garamond"/>
                <w:sz w:val="21"/>
                <w:szCs w:val="21"/>
                <w:lang w:val="en-US"/>
              </w:rPr>
            </w:pPr>
          </w:p>
        </w:tc>
        <w:tc>
          <w:tcPr>
            <w:tcW w:w="3118" w:type="dxa"/>
          </w:tcPr>
          <w:p w14:paraId="0E9829EE"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Providing a framework to boost EU initiatives in green and clean tech sectors, especially in the context of dependencies and global competition. Focus on funding (state aid relaxation), and regulation (raw material procurement, and EU-standard setting for technologies).</w:t>
            </w:r>
          </w:p>
        </w:tc>
        <w:tc>
          <w:tcPr>
            <w:tcW w:w="709" w:type="dxa"/>
          </w:tcPr>
          <w:p w14:paraId="7E8D5909"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Active</w:t>
            </w:r>
          </w:p>
        </w:tc>
        <w:tc>
          <w:tcPr>
            <w:tcW w:w="2835" w:type="dxa"/>
          </w:tcPr>
          <w:p w14:paraId="0F9DBCB6"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 xml:space="preserve">Subsummation of different funds, including </w:t>
            </w:r>
            <w:proofErr w:type="spellStart"/>
            <w:r w:rsidRPr="00D66576">
              <w:rPr>
                <w:rFonts w:ascii="Garamond" w:hAnsi="Garamond"/>
                <w:sz w:val="21"/>
                <w:szCs w:val="21"/>
                <w:lang w:val="en-US"/>
              </w:rPr>
              <w:t>REPowerEU</w:t>
            </w:r>
            <w:proofErr w:type="spellEnd"/>
            <w:r w:rsidRPr="00D66576">
              <w:rPr>
                <w:rFonts w:ascii="Garamond" w:hAnsi="Garamond"/>
                <w:sz w:val="21"/>
                <w:szCs w:val="21"/>
                <w:lang w:val="en-US"/>
              </w:rPr>
              <w:t>, ETS revenues, and Modernization Fund.</w:t>
            </w:r>
          </w:p>
        </w:tc>
      </w:tr>
      <w:tr w:rsidR="00FB2A41" w:rsidRPr="00D66576" w14:paraId="7A7ED108" w14:textId="77777777" w:rsidTr="005E388A">
        <w:trPr>
          <w:trHeight w:val="300"/>
        </w:trPr>
        <w:tc>
          <w:tcPr>
            <w:tcW w:w="1476" w:type="dxa"/>
          </w:tcPr>
          <w:p w14:paraId="63FE55F9"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Temporary Crisis and Transition Framework (TCTF)</w:t>
            </w:r>
          </w:p>
        </w:tc>
        <w:tc>
          <w:tcPr>
            <w:tcW w:w="1293" w:type="dxa"/>
          </w:tcPr>
          <w:p w14:paraId="2F351C62"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2023</w:t>
            </w:r>
          </w:p>
        </w:tc>
        <w:tc>
          <w:tcPr>
            <w:tcW w:w="4319" w:type="dxa"/>
          </w:tcPr>
          <w:p w14:paraId="238E96CC" w14:textId="5E695D6A" w:rsidR="00FB2A41" w:rsidRPr="00D66576" w:rsidRDefault="00F278C9" w:rsidP="005E388A">
            <w:pPr>
              <w:spacing w:line="276" w:lineRule="auto"/>
              <w:contextualSpacing/>
              <w:rPr>
                <w:rFonts w:ascii="Garamond" w:hAnsi="Garamond"/>
                <w:sz w:val="21"/>
                <w:szCs w:val="21"/>
                <w:lang w:val="en-US"/>
              </w:rPr>
            </w:pPr>
            <w:r w:rsidRPr="00F278C9">
              <w:rPr>
                <w:rFonts w:ascii="Garamond" w:hAnsi="Garamond"/>
                <w:sz w:val="21"/>
                <w:szCs w:val="21"/>
                <w:lang w:val="en-US"/>
              </w:rPr>
              <w:t>‘Our state aid frameworks exist to preserve our precious Single Market. But if investments in strategic sectors leak away from Europe, this would only undermine the Single Market. And that is why we are now reflecting on how to simplify and adapt our state aid rules</w:t>
            </w:r>
            <w:r>
              <w:rPr>
                <w:rFonts w:ascii="Garamond" w:hAnsi="Garamond"/>
                <w:sz w:val="21"/>
                <w:szCs w:val="21"/>
                <w:lang w:val="en-US"/>
              </w:rPr>
              <w:t>’</w:t>
            </w:r>
          </w:p>
        </w:tc>
        <w:tc>
          <w:tcPr>
            <w:tcW w:w="3118" w:type="dxa"/>
          </w:tcPr>
          <w:p w14:paraId="303BD69E"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Uncapping state aid directed at green and clean tech sectors for strategically important sectors.</w:t>
            </w:r>
          </w:p>
        </w:tc>
        <w:tc>
          <w:tcPr>
            <w:tcW w:w="709" w:type="dxa"/>
          </w:tcPr>
          <w:p w14:paraId="02A54252"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Active</w:t>
            </w:r>
          </w:p>
        </w:tc>
        <w:tc>
          <w:tcPr>
            <w:tcW w:w="2835" w:type="dxa"/>
          </w:tcPr>
          <w:p w14:paraId="18EDEBE1"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Member state fiscal policy.</w:t>
            </w:r>
          </w:p>
        </w:tc>
      </w:tr>
      <w:tr w:rsidR="00FB2A41" w:rsidRPr="00537743" w14:paraId="1CE32F5D" w14:textId="77777777" w:rsidTr="005E388A">
        <w:trPr>
          <w:trHeight w:val="1935"/>
        </w:trPr>
        <w:tc>
          <w:tcPr>
            <w:tcW w:w="1476" w:type="dxa"/>
          </w:tcPr>
          <w:p w14:paraId="6E261CE2"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Strategic Technologies for Europe Platform (formerly sovereignty fund)</w:t>
            </w:r>
          </w:p>
        </w:tc>
        <w:tc>
          <w:tcPr>
            <w:tcW w:w="1293" w:type="dxa"/>
          </w:tcPr>
          <w:p w14:paraId="472F0968"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2023</w:t>
            </w:r>
          </w:p>
        </w:tc>
        <w:tc>
          <w:tcPr>
            <w:tcW w:w="4319" w:type="dxa"/>
          </w:tcPr>
          <w:p w14:paraId="7288A5A2" w14:textId="77777777" w:rsidR="00FB2A41" w:rsidRPr="00D66576" w:rsidRDefault="00FB2A41" w:rsidP="005E388A">
            <w:pPr>
              <w:spacing w:line="276" w:lineRule="auto"/>
              <w:contextualSpacing/>
              <w:rPr>
                <w:rFonts w:ascii="Garamond" w:hAnsi="Garamond"/>
                <w:sz w:val="21"/>
                <w:szCs w:val="21"/>
                <w:lang w:val="en-US"/>
              </w:rPr>
            </w:pPr>
            <w:r w:rsidRPr="00D66576">
              <w:rPr>
                <w:rFonts w:ascii="Garamond" w:hAnsi="Garamond"/>
                <w:sz w:val="21"/>
                <w:szCs w:val="21"/>
                <w:lang w:val="en-US"/>
              </w:rPr>
              <w:t>‘Preserve a European edge on critical and emerging technologies relevant to the green and digital transitions’ and ‘the development of a European “industrial sovereignty”, which is now part of EU’s “DNA”’</w:t>
            </w:r>
          </w:p>
        </w:tc>
        <w:tc>
          <w:tcPr>
            <w:tcW w:w="3118" w:type="dxa"/>
          </w:tcPr>
          <w:p w14:paraId="7F47234C"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Subsuming existing funding instruments for high-tech initiatives under a unified sovereignty logic.</w:t>
            </w:r>
          </w:p>
        </w:tc>
        <w:tc>
          <w:tcPr>
            <w:tcW w:w="709" w:type="dxa"/>
          </w:tcPr>
          <w:p w14:paraId="672206BB"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Proposed</w:t>
            </w:r>
          </w:p>
        </w:tc>
        <w:tc>
          <w:tcPr>
            <w:tcW w:w="2835" w:type="dxa"/>
          </w:tcPr>
          <w:p w14:paraId="1F6911F9" w14:textId="5D12189B" w:rsidR="00FB2A41" w:rsidRPr="00D66576" w:rsidRDefault="00537743" w:rsidP="005E388A">
            <w:pPr>
              <w:spacing w:line="276" w:lineRule="auto"/>
              <w:contextualSpacing/>
              <w:rPr>
                <w:rFonts w:ascii="Garamond" w:hAnsi="Garamond"/>
                <w:sz w:val="21"/>
                <w:szCs w:val="21"/>
                <w:lang w:val="en-US"/>
              </w:rPr>
            </w:pPr>
            <w:r>
              <w:rPr>
                <w:rFonts w:ascii="Garamond" w:hAnsi="Garamond"/>
                <w:sz w:val="21"/>
                <w:szCs w:val="21"/>
                <w:lang w:val="en-US"/>
              </w:rPr>
              <w:t xml:space="preserve">€110-160bn </w:t>
            </w:r>
            <w:r w:rsidR="00FB2A41" w:rsidRPr="00D66576">
              <w:rPr>
                <w:rFonts w:ascii="Garamond" w:hAnsi="Garamond"/>
                <w:sz w:val="21"/>
                <w:szCs w:val="21"/>
                <w:lang w:val="en-US"/>
              </w:rPr>
              <w:t>Leverag</w:t>
            </w:r>
            <w:r>
              <w:rPr>
                <w:rFonts w:ascii="Garamond" w:hAnsi="Garamond"/>
                <w:sz w:val="21"/>
                <w:szCs w:val="21"/>
                <w:lang w:val="en-US"/>
              </w:rPr>
              <w:t>ed from</w:t>
            </w:r>
            <w:r w:rsidR="00FB2A41" w:rsidRPr="00D66576">
              <w:rPr>
                <w:rFonts w:ascii="Garamond" w:hAnsi="Garamond"/>
                <w:sz w:val="21"/>
                <w:szCs w:val="21"/>
                <w:lang w:val="en-US"/>
              </w:rPr>
              <w:t xml:space="preserve"> existing programs (Horizon Europe, </w:t>
            </w:r>
            <w:proofErr w:type="spellStart"/>
            <w:r w:rsidR="00FB2A41" w:rsidRPr="00D66576">
              <w:rPr>
                <w:rFonts w:ascii="Garamond" w:hAnsi="Garamond"/>
                <w:sz w:val="21"/>
                <w:szCs w:val="21"/>
                <w:lang w:val="en-US"/>
              </w:rPr>
              <w:t>InvestEU</w:t>
            </w:r>
            <w:proofErr w:type="spellEnd"/>
            <w:r w:rsidR="00FB2A41" w:rsidRPr="00D66576">
              <w:rPr>
                <w:rFonts w:ascii="Garamond" w:hAnsi="Garamond"/>
                <w:sz w:val="21"/>
                <w:szCs w:val="21"/>
                <w:lang w:val="en-US"/>
              </w:rPr>
              <w:t>, etc.)</w:t>
            </w:r>
            <w:r>
              <w:rPr>
                <w:rFonts w:ascii="Garamond" w:hAnsi="Garamond"/>
                <w:sz w:val="21"/>
                <w:szCs w:val="21"/>
                <w:lang w:val="en-US"/>
              </w:rPr>
              <w:t>.</w:t>
            </w:r>
          </w:p>
        </w:tc>
      </w:tr>
      <w:tr w:rsidR="00FB2A41" w:rsidRPr="00D66576" w14:paraId="6AE3C2A0" w14:textId="77777777" w:rsidTr="005E388A">
        <w:trPr>
          <w:trHeight w:val="300"/>
        </w:trPr>
        <w:tc>
          <w:tcPr>
            <w:tcW w:w="1476" w:type="dxa"/>
          </w:tcPr>
          <w:p w14:paraId="529CB536"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Economic security strategy</w:t>
            </w:r>
          </w:p>
        </w:tc>
        <w:tc>
          <w:tcPr>
            <w:tcW w:w="1293" w:type="dxa"/>
          </w:tcPr>
          <w:p w14:paraId="60E0BBD2"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2023</w:t>
            </w:r>
          </w:p>
        </w:tc>
        <w:tc>
          <w:tcPr>
            <w:tcW w:w="4319" w:type="dxa"/>
          </w:tcPr>
          <w:p w14:paraId="28925403"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 xml:space="preserve">‘Risks presented by certain economic linkages are evolving quickly in the current geopolitical and technological environment and are increasingly merging with security concerns.’ Therefore, the </w:t>
            </w:r>
            <w:r w:rsidRPr="00D66576">
              <w:rPr>
                <w:rFonts w:ascii="Garamond" w:hAnsi="Garamond"/>
                <w:sz w:val="21"/>
                <w:szCs w:val="21"/>
                <w:lang w:val="en-US"/>
              </w:rPr>
              <w:lastRenderedPageBreak/>
              <w:t>strategy seeks to ‘further support EU technological sovereignty and resilience of EU value chains.’</w:t>
            </w:r>
          </w:p>
        </w:tc>
        <w:tc>
          <w:tcPr>
            <w:tcW w:w="3118" w:type="dxa"/>
          </w:tcPr>
          <w:p w14:paraId="10ADC013"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lastRenderedPageBreak/>
              <w:t xml:space="preserve">Directing (regulatory) resources to overcome risks and to increase security in high-tech areas, </w:t>
            </w:r>
            <w:r w:rsidRPr="00D66576">
              <w:rPr>
                <w:rFonts w:ascii="Garamond" w:hAnsi="Garamond"/>
                <w:sz w:val="21"/>
                <w:szCs w:val="21"/>
                <w:lang w:val="en-US"/>
              </w:rPr>
              <w:lastRenderedPageBreak/>
              <w:t>infrastructures, and trade relationships.</w:t>
            </w:r>
          </w:p>
        </w:tc>
        <w:tc>
          <w:tcPr>
            <w:tcW w:w="709" w:type="dxa"/>
          </w:tcPr>
          <w:p w14:paraId="74AE493A"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lastRenderedPageBreak/>
              <w:t>Proposed</w:t>
            </w:r>
          </w:p>
        </w:tc>
        <w:tc>
          <w:tcPr>
            <w:tcW w:w="2835" w:type="dxa"/>
          </w:tcPr>
          <w:p w14:paraId="5D3C3C57" w14:textId="77777777" w:rsidR="00FB2A41" w:rsidRPr="00D66576" w:rsidRDefault="00FB2A41" w:rsidP="005E388A">
            <w:pPr>
              <w:spacing w:line="276" w:lineRule="auto"/>
              <w:rPr>
                <w:rFonts w:ascii="Garamond" w:hAnsi="Garamond"/>
                <w:sz w:val="21"/>
                <w:szCs w:val="21"/>
                <w:lang w:val="en-US"/>
              </w:rPr>
            </w:pPr>
            <w:r w:rsidRPr="00D66576">
              <w:rPr>
                <w:rFonts w:ascii="Garamond" w:hAnsi="Garamond"/>
                <w:sz w:val="21"/>
                <w:szCs w:val="21"/>
                <w:lang w:val="en-US"/>
              </w:rPr>
              <w:t>n/a</w:t>
            </w:r>
          </w:p>
        </w:tc>
      </w:tr>
    </w:tbl>
    <w:p w14:paraId="3EAE58FB" w14:textId="77777777" w:rsidR="00FB2A41" w:rsidRPr="00D66576" w:rsidRDefault="00FB2A41" w:rsidP="00FB2A41">
      <w:pPr>
        <w:contextualSpacing/>
        <w:rPr>
          <w:rFonts w:ascii="Garamond" w:hAnsi="Garamond"/>
          <w:sz w:val="21"/>
          <w:szCs w:val="21"/>
          <w:lang w:val="en-US"/>
        </w:rPr>
      </w:pPr>
    </w:p>
    <w:bookmarkEnd w:id="0"/>
    <w:p w14:paraId="41985B8B" w14:textId="77777777" w:rsidR="00FB2A41" w:rsidRPr="00D66576" w:rsidRDefault="00FB2A41" w:rsidP="00FB2A41">
      <w:pPr>
        <w:contextualSpacing/>
        <w:rPr>
          <w:rFonts w:ascii="Garamond" w:hAnsi="Garamond"/>
          <w:sz w:val="21"/>
          <w:szCs w:val="21"/>
          <w:lang w:val="en-US"/>
        </w:rPr>
      </w:pPr>
    </w:p>
    <w:p w14:paraId="54719B03" w14:textId="77777777" w:rsidR="00FB2A41" w:rsidRPr="00D66576" w:rsidRDefault="00FB2A41" w:rsidP="00FB2A41">
      <w:pPr>
        <w:contextualSpacing/>
        <w:rPr>
          <w:rFonts w:ascii="Garamond" w:hAnsi="Garamond"/>
          <w:sz w:val="21"/>
          <w:szCs w:val="21"/>
          <w:lang w:val="en-US"/>
        </w:rPr>
      </w:pPr>
      <w:r w:rsidRPr="00D66576">
        <w:rPr>
          <w:rFonts w:ascii="Garamond" w:hAnsi="Garamond"/>
          <w:sz w:val="21"/>
          <w:szCs w:val="21"/>
          <w:lang w:val="en-US"/>
        </w:rPr>
        <w:t>Sources</w:t>
      </w:r>
    </w:p>
    <w:p w14:paraId="2554A200" w14:textId="77777777" w:rsidR="00FB2A41" w:rsidRPr="00D66576" w:rsidRDefault="00FB2A41" w:rsidP="00FB2A41">
      <w:pPr>
        <w:contextualSpacing/>
        <w:rPr>
          <w:rFonts w:ascii="Garamond" w:hAnsi="Garamond"/>
          <w:sz w:val="21"/>
          <w:szCs w:val="21"/>
          <w:lang w:val="en-US"/>
        </w:rPr>
      </w:pPr>
      <w:r w:rsidRPr="00D66576">
        <w:rPr>
          <w:rFonts w:ascii="Garamond" w:hAnsi="Garamond"/>
          <w:sz w:val="21"/>
          <w:szCs w:val="21"/>
          <w:lang w:val="en-US"/>
        </w:rPr>
        <w:t xml:space="preserve">EIT: </w:t>
      </w:r>
      <w:hyperlink r:id="rId8">
        <w:r w:rsidRPr="00D66576">
          <w:rPr>
            <w:rStyle w:val="Hyperlink"/>
            <w:rFonts w:ascii="Garamond" w:hAnsi="Garamond"/>
            <w:sz w:val="21"/>
            <w:szCs w:val="21"/>
            <w:lang w:val="en-US"/>
          </w:rPr>
          <w:t>https://eur-lex.europa.eu/legal-content/EN/TXT/PDF/?uri=CELEX:32021D0820</w:t>
        </w:r>
      </w:hyperlink>
      <w:r w:rsidRPr="00D66576">
        <w:rPr>
          <w:rFonts w:ascii="Garamond" w:hAnsi="Garamond"/>
          <w:sz w:val="21"/>
          <w:szCs w:val="21"/>
          <w:lang w:val="en-US"/>
        </w:rPr>
        <w:t xml:space="preserve"> </w:t>
      </w:r>
    </w:p>
    <w:p w14:paraId="3AD7A0A8" w14:textId="77777777" w:rsidR="00FB2A41" w:rsidRPr="00D66576" w:rsidRDefault="00FB2A41" w:rsidP="00FB2A41">
      <w:pPr>
        <w:contextualSpacing/>
        <w:rPr>
          <w:rFonts w:ascii="Garamond" w:hAnsi="Garamond"/>
          <w:sz w:val="21"/>
          <w:szCs w:val="21"/>
          <w:lang w:val="en-US"/>
        </w:rPr>
      </w:pPr>
      <w:r w:rsidRPr="00D66576">
        <w:rPr>
          <w:rFonts w:ascii="Garamond" w:hAnsi="Garamond"/>
          <w:sz w:val="21"/>
          <w:szCs w:val="21"/>
          <w:lang w:val="en-US"/>
        </w:rPr>
        <w:t xml:space="preserve">IPCEI: </w:t>
      </w:r>
      <w:hyperlink r:id="rId9">
        <w:r w:rsidRPr="00D66576">
          <w:rPr>
            <w:rStyle w:val="Hyperlink"/>
            <w:rFonts w:ascii="Garamond" w:hAnsi="Garamond"/>
            <w:sz w:val="21"/>
            <w:szCs w:val="21"/>
            <w:lang w:val="en-US"/>
          </w:rPr>
          <w:t>https://eur-lex.europa.eu/legal-content/EN/TXT/PDF/?uri=CELEX:52021XC1230(02</w:t>
        </w:r>
      </w:hyperlink>
      <w:r w:rsidRPr="00D66576">
        <w:rPr>
          <w:rFonts w:ascii="Garamond" w:hAnsi="Garamond"/>
          <w:sz w:val="21"/>
          <w:szCs w:val="21"/>
          <w:lang w:val="en-US"/>
        </w:rPr>
        <w:t>) (purpose); Di Carlo &amp; Schmitz (2023) for funding</w:t>
      </w:r>
    </w:p>
    <w:p w14:paraId="7D3B31E2" w14:textId="77777777" w:rsidR="00FB2A41" w:rsidRPr="00D66576" w:rsidRDefault="00FB2A41" w:rsidP="00FB2A41">
      <w:pPr>
        <w:contextualSpacing/>
        <w:rPr>
          <w:rFonts w:ascii="Garamond" w:hAnsi="Garamond"/>
          <w:sz w:val="21"/>
          <w:szCs w:val="21"/>
          <w:lang w:val="en-US"/>
        </w:rPr>
      </w:pPr>
      <w:r w:rsidRPr="00D66576">
        <w:rPr>
          <w:rFonts w:ascii="Garamond" w:hAnsi="Garamond"/>
          <w:sz w:val="21"/>
          <w:szCs w:val="21"/>
          <w:lang w:val="en-US"/>
        </w:rPr>
        <w:t xml:space="preserve">Alliances: </w:t>
      </w:r>
      <w:hyperlink r:id="rId10">
        <w:r w:rsidRPr="00D66576">
          <w:rPr>
            <w:rStyle w:val="Hyperlink"/>
            <w:rFonts w:ascii="Garamond" w:hAnsi="Garamond"/>
            <w:sz w:val="21"/>
            <w:szCs w:val="21"/>
            <w:lang w:val="en-US"/>
          </w:rPr>
          <w:t>https://eur-lex.europa.eu/legal-content/EN/TXT/PDF/?uri=CELEX:52023JC0020</w:t>
        </w:r>
      </w:hyperlink>
      <w:r w:rsidRPr="00D66576">
        <w:rPr>
          <w:rFonts w:ascii="Garamond" w:hAnsi="Garamond"/>
          <w:sz w:val="21"/>
          <w:szCs w:val="21"/>
          <w:lang w:val="en-US"/>
        </w:rPr>
        <w:t xml:space="preserve"> </w:t>
      </w:r>
    </w:p>
    <w:p w14:paraId="62F597AC" w14:textId="77777777" w:rsidR="00FB2A41" w:rsidRPr="00D66576" w:rsidRDefault="00FB2A41" w:rsidP="00FB2A41">
      <w:pPr>
        <w:contextualSpacing/>
        <w:rPr>
          <w:rFonts w:ascii="Garamond" w:hAnsi="Garamond"/>
          <w:sz w:val="21"/>
          <w:szCs w:val="21"/>
          <w:lang w:val="en-US"/>
        </w:rPr>
      </w:pPr>
      <w:r w:rsidRPr="00D66576">
        <w:rPr>
          <w:rFonts w:ascii="Garamond" w:hAnsi="Garamond"/>
          <w:sz w:val="21"/>
          <w:szCs w:val="21"/>
          <w:lang w:val="en-US"/>
        </w:rPr>
        <w:t xml:space="preserve">Global gateway: </w:t>
      </w:r>
      <w:hyperlink r:id="rId11">
        <w:r w:rsidRPr="00D66576">
          <w:rPr>
            <w:rStyle w:val="Hyperlink"/>
            <w:rFonts w:ascii="Garamond" w:hAnsi="Garamond"/>
            <w:sz w:val="21"/>
            <w:szCs w:val="21"/>
            <w:lang w:val="en-US"/>
          </w:rPr>
          <w:t>https://ec.europa.eu/commission/presscorner/detail/en/ip_22_7656</w:t>
        </w:r>
      </w:hyperlink>
    </w:p>
    <w:p w14:paraId="02C882F8" w14:textId="5ABCC2BB" w:rsidR="00FB2A41" w:rsidRPr="00D66576" w:rsidRDefault="00FB2A41" w:rsidP="00FB2A41">
      <w:pPr>
        <w:contextualSpacing/>
        <w:rPr>
          <w:rFonts w:ascii="Garamond" w:hAnsi="Garamond"/>
          <w:sz w:val="21"/>
          <w:szCs w:val="21"/>
          <w:lang w:val="en-US"/>
        </w:rPr>
      </w:pPr>
      <w:r w:rsidRPr="00D66576">
        <w:rPr>
          <w:rFonts w:ascii="Garamond" w:hAnsi="Garamond"/>
          <w:sz w:val="21"/>
          <w:szCs w:val="21"/>
          <w:lang w:val="en-US"/>
        </w:rPr>
        <w:t xml:space="preserve">Chips act: </w:t>
      </w:r>
      <w:hyperlink r:id="rId12">
        <w:r w:rsidRPr="00D66576">
          <w:rPr>
            <w:rStyle w:val="Hyperlink"/>
            <w:rFonts w:ascii="Garamond" w:hAnsi="Garamond"/>
            <w:sz w:val="21"/>
            <w:szCs w:val="21"/>
            <w:lang w:val="en-US"/>
          </w:rPr>
          <w:t>https://www.linkedin.com/pulse/how-european-chips-act-put-europe-back-tech-race-thierry-breton/</w:t>
        </w:r>
      </w:hyperlink>
      <w:r w:rsidRPr="00D66576">
        <w:rPr>
          <w:rFonts w:ascii="Garamond" w:hAnsi="Garamond"/>
          <w:sz w:val="21"/>
          <w:szCs w:val="21"/>
          <w:lang w:val="en-US"/>
        </w:rPr>
        <w:t>.</w:t>
      </w:r>
    </w:p>
    <w:p w14:paraId="615523A2" w14:textId="77777777" w:rsidR="00FB2A41" w:rsidRPr="00D66576" w:rsidRDefault="00FB2A41" w:rsidP="00FB2A41">
      <w:pPr>
        <w:contextualSpacing/>
        <w:rPr>
          <w:rFonts w:ascii="Garamond" w:hAnsi="Garamond"/>
          <w:sz w:val="21"/>
          <w:szCs w:val="21"/>
          <w:lang w:val="en-US"/>
        </w:rPr>
      </w:pPr>
      <w:proofErr w:type="spellStart"/>
      <w:r w:rsidRPr="00D66576">
        <w:rPr>
          <w:rFonts w:ascii="Garamond" w:hAnsi="Garamond"/>
          <w:sz w:val="21"/>
          <w:szCs w:val="21"/>
          <w:lang w:val="en-US"/>
        </w:rPr>
        <w:t>REpowerEU</w:t>
      </w:r>
      <w:proofErr w:type="spellEnd"/>
      <w:r w:rsidRPr="00D66576">
        <w:rPr>
          <w:rFonts w:ascii="Garamond" w:hAnsi="Garamond"/>
          <w:sz w:val="21"/>
          <w:szCs w:val="21"/>
          <w:lang w:val="en-US"/>
        </w:rPr>
        <w:t xml:space="preserve">: </w:t>
      </w:r>
      <w:hyperlink r:id="rId13">
        <w:r w:rsidRPr="00D66576">
          <w:rPr>
            <w:rStyle w:val="Hyperlink"/>
            <w:rFonts w:ascii="Garamond" w:hAnsi="Garamond"/>
            <w:sz w:val="21"/>
            <w:szCs w:val="21"/>
            <w:lang w:val="en-US"/>
          </w:rPr>
          <w:t>https://www.consilium.europa.eu/en/policies/eu-recovery-plan/repowereu/</w:t>
        </w:r>
      </w:hyperlink>
      <w:r w:rsidRPr="00D66576">
        <w:rPr>
          <w:rFonts w:ascii="Garamond" w:hAnsi="Garamond"/>
          <w:sz w:val="21"/>
          <w:szCs w:val="21"/>
          <w:lang w:val="en-US"/>
        </w:rPr>
        <w:t xml:space="preserve"> </w:t>
      </w:r>
    </w:p>
    <w:p w14:paraId="1A44D8E5" w14:textId="77777777" w:rsidR="00FB2A41" w:rsidRPr="00D66576" w:rsidRDefault="00FB2A41" w:rsidP="00FB2A41">
      <w:pPr>
        <w:contextualSpacing/>
        <w:rPr>
          <w:rFonts w:ascii="Garamond" w:hAnsi="Garamond"/>
          <w:sz w:val="21"/>
          <w:szCs w:val="21"/>
          <w:lang w:val="en-US"/>
        </w:rPr>
      </w:pPr>
      <w:r w:rsidRPr="00D66576">
        <w:rPr>
          <w:rFonts w:ascii="Garamond" w:hAnsi="Garamond"/>
          <w:sz w:val="21"/>
          <w:szCs w:val="21"/>
          <w:lang w:val="en-US"/>
        </w:rPr>
        <w:t xml:space="preserve">Tech champions: </w:t>
      </w:r>
      <w:hyperlink r:id="rId14">
        <w:r w:rsidRPr="00D66576">
          <w:rPr>
            <w:rStyle w:val="Hyperlink"/>
            <w:rFonts w:ascii="Garamond" w:hAnsi="Garamond"/>
            <w:sz w:val="21"/>
            <w:szCs w:val="21"/>
            <w:lang w:val="en-US"/>
          </w:rPr>
          <w:t>https://www.eib.org/en/press/all/2023-056-launch-of-new-fund-of-funds-to-support-european-tech-champions</w:t>
        </w:r>
      </w:hyperlink>
      <w:r w:rsidRPr="00D66576">
        <w:rPr>
          <w:rFonts w:ascii="Garamond" w:hAnsi="Garamond"/>
          <w:sz w:val="21"/>
          <w:szCs w:val="21"/>
          <w:lang w:val="en-US"/>
        </w:rPr>
        <w:t xml:space="preserve"> </w:t>
      </w:r>
    </w:p>
    <w:p w14:paraId="5E4187E8" w14:textId="77777777" w:rsidR="00FB2A41" w:rsidRPr="00D66576" w:rsidRDefault="00FB2A41" w:rsidP="00FB2A41">
      <w:pPr>
        <w:contextualSpacing/>
        <w:rPr>
          <w:rFonts w:ascii="Garamond" w:hAnsi="Garamond"/>
          <w:sz w:val="21"/>
          <w:szCs w:val="21"/>
          <w:lang w:val="en-US"/>
        </w:rPr>
      </w:pPr>
      <w:r w:rsidRPr="00D66576">
        <w:rPr>
          <w:rFonts w:ascii="Garamond" w:hAnsi="Garamond"/>
          <w:sz w:val="21"/>
          <w:szCs w:val="21"/>
          <w:lang w:val="en-US"/>
        </w:rPr>
        <w:t xml:space="preserve">GDIP:  </w:t>
      </w:r>
      <w:hyperlink r:id="rId15">
        <w:r w:rsidRPr="00D66576">
          <w:rPr>
            <w:rStyle w:val="Hyperlink"/>
            <w:rFonts w:ascii="Garamond" w:hAnsi="Garamond"/>
            <w:sz w:val="21"/>
            <w:szCs w:val="21"/>
            <w:lang w:val="en-US"/>
          </w:rPr>
          <w:t>https://commission.europa.eu/strategy-and-policy/priorities-2019-2024/european-green-deal/green-deal-industrial-plan_en</w:t>
        </w:r>
      </w:hyperlink>
      <w:r w:rsidRPr="00D66576">
        <w:rPr>
          <w:rFonts w:ascii="Garamond" w:hAnsi="Garamond"/>
          <w:sz w:val="21"/>
          <w:szCs w:val="21"/>
          <w:lang w:val="en-US"/>
        </w:rPr>
        <w:t xml:space="preserve"> </w:t>
      </w:r>
    </w:p>
    <w:p w14:paraId="1307AA66" w14:textId="77777777" w:rsidR="00FB2A41" w:rsidRPr="00D66576" w:rsidRDefault="00FB2A41" w:rsidP="00FB2A41">
      <w:pPr>
        <w:contextualSpacing/>
        <w:rPr>
          <w:rFonts w:ascii="Garamond" w:hAnsi="Garamond"/>
          <w:sz w:val="21"/>
          <w:szCs w:val="21"/>
          <w:lang w:val="en-US"/>
        </w:rPr>
      </w:pPr>
      <w:r w:rsidRPr="00D66576">
        <w:rPr>
          <w:rFonts w:ascii="Garamond" w:hAnsi="Garamond"/>
          <w:sz w:val="21"/>
          <w:szCs w:val="21"/>
          <w:lang w:val="en-US"/>
        </w:rPr>
        <w:t xml:space="preserve">STEP: </w:t>
      </w:r>
      <w:hyperlink r:id="rId16">
        <w:r w:rsidRPr="00D66576">
          <w:rPr>
            <w:rStyle w:val="Hyperlink"/>
            <w:rFonts w:ascii="Garamond" w:hAnsi="Garamond"/>
            <w:sz w:val="21"/>
            <w:szCs w:val="21"/>
            <w:lang w:val="en-US"/>
          </w:rPr>
          <w:t>https://eur-lex.europa.eu/legal-content/EN/TXT/HTML/?uri=CELEX:52023PC0335</w:t>
        </w:r>
      </w:hyperlink>
      <w:r w:rsidRPr="00D66576">
        <w:rPr>
          <w:rFonts w:ascii="Garamond" w:hAnsi="Garamond"/>
          <w:sz w:val="21"/>
          <w:szCs w:val="21"/>
          <w:lang w:val="en-US"/>
        </w:rPr>
        <w:t xml:space="preserve"> &amp; </w:t>
      </w:r>
      <w:hyperlink r:id="rId17">
        <w:r w:rsidRPr="00D66576">
          <w:rPr>
            <w:rStyle w:val="Hyperlink"/>
            <w:rFonts w:ascii="Garamond" w:hAnsi="Garamond"/>
            <w:sz w:val="21"/>
            <w:szCs w:val="21"/>
            <w:lang w:val="en-US"/>
          </w:rPr>
          <w:t>https://www.euractiv.com/section/economy-jobs/news/eus-breton-wants-sovereignty-fund-to-buy-out-firms-of-systemic-importance/</w:t>
        </w:r>
      </w:hyperlink>
      <w:r w:rsidRPr="00D66576">
        <w:rPr>
          <w:rFonts w:ascii="Garamond" w:hAnsi="Garamond"/>
          <w:sz w:val="21"/>
          <w:szCs w:val="21"/>
          <w:lang w:val="en-US"/>
        </w:rPr>
        <w:t xml:space="preserve"> </w:t>
      </w:r>
    </w:p>
    <w:p w14:paraId="2820B9BD" w14:textId="77777777" w:rsidR="00FB2A41" w:rsidRPr="00D66576" w:rsidRDefault="00FB2A41" w:rsidP="00FB2A41">
      <w:pPr>
        <w:contextualSpacing/>
        <w:rPr>
          <w:rFonts w:ascii="Garamond" w:hAnsi="Garamond"/>
          <w:sz w:val="21"/>
          <w:szCs w:val="21"/>
          <w:lang w:val="en-US"/>
        </w:rPr>
      </w:pPr>
      <w:r w:rsidRPr="00D66576">
        <w:rPr>
          <w:rFonts w:ascii="Garamond" w:hAnsi="Garamond"/>
          <w:sz w:val="21"/>
          <w:szCs w:val="21"/>
          <w:lang w:val="en-US"/>
        </w:rPr>
        <w:t xml:space="preserve">Economic security strategy: </w:t>
      </w:r>
      <w:hyperlink r:id="rId18">
        <w:r w:rsidRPr="00D66576">
          <w:rPr>
            <w:rStyle w:val="Hyperlink"/>
            <w:rFonts w:ascii="Garamond" w:hAnsi="Garamond"/>
            <w:sz w:val="21"/>
            <w:szCs w:val="21"/>
            <w:lang w:val="en-US"/>
          </w:rPr>
          <w:t>https://ec.europa.eu/commission/presscorner/detail/en/ip_23_3358</w:t>
        </w:r>
      </w:hyperlink>
      <w:r w:rsidRPr="00D66576">
        <w:rPr>
          <w:rFonts w:ascii="Garamond" w:hAnsi="Garamond"/>
          <w:sz w:val="21"/>
          <w:szCs w:val="21"/>
          <w:lang w:val="en-US"/>
        </w:rPr>
        <w:t xml:space="preserve"> </w:t>
      </w:r>
    </w:p>
    <w:p w14:paraId="6F502956" w14:textId="7C7E9C23" w:rsidR="00FB2A41" w:rsidRPr="00F278C9" w:rsidRDefault="00FB2A41" w:rsidP="00F278C9">
      <w:pPr>
        <w:contextualSpacing/>
        <w:rPr>
          <w:rFonts w:ascii="Garamond" w:hAnsi="Garamond"/>
          <w:b/>
          <w:bCs/>
          <w:lang w:val="en-US"/>
        </w:rPr>
        <w:sectPr w:rsidR="00FB2A41" w:rsidRPr="00F278C9" w:rsidSect="00FB2A41">
          <w:pgSz w:w="15840" w:h="12240" w:orient="landscape"/>
          <w:pgMar w:top="1440" w:right="1440" w:bottom="1440" w:left="1440" w:header="709" w:footer="709" w:gutter="0"/>
          <w:cols w:space="708"/>
          <w:docGrid w:linePitch="360"/>
        </w:sectPr>
      </w:pPr>
      <w:r w:rsidRPr="00D66576">
        <w:rPr>
          <w:rFonts w:ascii="Garamond" w:hAnsi="Garamond"/>
          <w:sz w:val="21"/>
          <w:szCs w:val="21"/>
          <w:lang w:val="en-US"/>
        </w:rPr>
        <w:t xml:space="preserve">State aid: </w:t>
      </w:r>
      <w:hyperlink r:id="rId19" w:history="1">
        <w:r w:rsidR="00F278C9" w:rsidRPr="00F278C9">
          <w:rPr>
            <w:rStyle w:val="Hyperlink"/>
            <w:rFonts w:ascii="Garamond" w:hAnsi="Garamond"/>
            <w:lang w:val="en-US"/>
          </w:rPr>
          <w:t>https://ec.europa.eu/commission/presscorner/detail/en/speech_22_7487</w:t>
        </w:r>
      </w:hyperlink>
      <w:r w:rsidR="00F278C9">
        <w:rPr>
          <w:lang w:val="en-US"/>
        </w:rPr>
        <w:t xml:space="preserve"> </w:t>
      </w:r>
    </w:p>
    <w:p w14:paraId="5B26328D" w14:textId="7E13C683" w:rsidR="008C013A" w:rsidRPr="00F01A52" w:rsidRDefault="008C013A" w:rsidP="008C013A">
      <w:pPr>
        <w:pStyle w:val="BodyText"/>
        <w:rPr>
          <w:rFonts w:ascii="Garamond" w:hAnsi="Garamond"/>
          <w:b/>
          <w:bCs/>
          <w:lang w:val="en-US"/>
        </w:rPr>
      </w:pPr>
      <w:r w:rsidRPr="00F01A52">
        <w:rPr>
          <w:rFonts w:ascii="Garamond" w:hAnsi="Garamond"/>
          <w:b/>
          <w:bCs/>
          <w:lang w:val="en-US"/>
        </w:rPr>
        <w:lastRenderedPageBreak/>
        <w:t>References:</w:t>
      </w:r>
    </w:p>
    <w:p w14:paraId="196B888C" w14:textId="77777777" w:rsidR="00F01A52" w:rsidRPr="00F01A52" w:rsidRDefault="008C013A" w:rsidP="00F01A52">
      <w:pPr>
        <w:pStyle w:val="Bibliography"/>
        <w:rPr>
          <w:rFonts w:ascii="Garamond" w:hAnsi="Garamond" w:cs="Calibri"/>
          <w:lang w:val="en-US"/>
        </w:rPr>
      </w:pPr>
      <w:r w:rsidRPr="00F01A52">
        <w:rPr>
          <w:rFonts w:ascii="Garamond" w:hAnsi="Garamond"/>
          <w:lang w:val="en-US"/>
        </w:rPr>
        <w:fldChar w:fldCharType="begin"/>
      </w:r>
      <w:r w:rsidRPr="00F01A52">
        <w:rPr>
          <w:rFonts w:ascii="Garamond" w:hAnsi="Garamond"/>
          <w:lang w:val="en-US"/>
        </w:rPr>
        <w:instrText xml:space="preserve"> ADDIN ZOTERO_BIBL {"uncited":[],"omitted":[],"custom":[]} CSL_BIBLIOGRAPHY </w:instrText>
      </w:r>
      <w:r w:rsidRPr="00F01A52">
        <w:rPr>
          <w:rFonts w:ascii="Garamond" w:hAnsi="Garamond"/>
          <w:lang w:val="en-US"/>
        </w:rPr>
        <w:fldChar w:fldCharType="separate"/>
      </w:r>
      <w:r w:rsidR="00F01A52" w:rsidRPr="00F01A52">
        <w:rPr>
          <w:rFonts w:ascii="Garamond" w:hAnsi="Garamond" w:cs="Calibri"/>
          <w:lang w:val="en-US"/>
        </w:rPr>
        <w:t xml:space="preserve">Laurer, M., van Atteveldt, W., Casas, A., &amp; Welbers, K. (2022). </w:t>
      </w:r>
      <w:r w:rsidR="00F01A52" w:rsidRPr="00F01A52">
        <w:rPr>
          <w:rFonts w:ascii="Garamond" w:hAnsi="Garamond" w:cs="Calibri"/>
          <w:i/>
          <w:iCs/>
          <w:lang w:val="en-US"/>
        </w:rPr>
        <w:t>Less Annotating, More Classifying – Addressing the Data Scarcity Issue of Supervised Machine Learning with Deep Transfer Learning and BERT-NLI</w:t>
      </w:r>
      <w:r w:rsidR="00F01A52" w:rsidRPr="00F01A52">
        <w:rPr>
          <w:rFonts w:ascii="Garamond" w:hAnsi="Garamond" w:cs="Calibri"/>
          <w:lang w:val="en-US"/>
        </w:rPr>
        <w:t>. 32.</w:t>
      </w:r>
    </w:p>
    <w:p w14:paraId="4D622D56" w14:textId="77777777" w:rsidR="00F01A52" w:rsidRPr="00F01A52" w:rsidRDefault="00F01A52" w:rsidP="00F01A52">
      <w:pPr>
        <w:pStyle w:val="Bibliography"/>
        <w:rPr>
          <w:rFonts w:ascii="Garamond" w:hAnsi="Garamond" w:cs="Calibri"/>
          <w:lang w:val="en-US"/>
        </w:rPr>
      </w:pPr>
      <w:r w:rsidRPr="00F01A52">
        <w:rPr>
          <w:rFonts w:ascii="Garamond" w:hAnsi="Garamond" w:cs="Calibri"/>
          <w:lang w:val="en-US"/>
        </w:rPr>
        <w:t xml:space="preserve">Licht, H. (2023). Cross-Lingual Classification of Political Texts Using Multilingual Sentence Embeddings. </w:t>
      </w:r>
      <w:r w:rsidRPr="00F01A52">
        <w:rPr>
          <w:rFonts w:ascii="Garamond" w:hAnsi="Garamond" w:cs="Calibri"/>
          <w:i/>
          <w:iCs/>
          <w:lang w:val="en-US"/>
        </w:rPr>
        <w:t>Political Analysis</w:t>
      </w:r>
      <w:r w:rsidRPr="00F01A52">
        <w:rPr>
          <w:rFonts w:ascii="Garamond" w:hAnsi="Garamond" w:cs="Calibri"/>
          <w:lang w:val="en-US"/>
        </w:rPr>
        <w:t>, 1–14. https://doi.org/10.1017/pan.2022.29</w:t>
      </w:r>
    </w:p>
    <w:p w14:paraId="4A722B36" w14:textId="77777777" w:rsidR="00F01A52" w:rsidRPr="00F01A52" w:rsidRDefault="00F01A52" w:rsidP="00F01A52">
      <w:pPr>
        <w:pStyle w:val="Bibliography"/>
        <w:rPr>
          <w:rFonts w:ascii="Garamond" w:hAnsi="Garamond" w:cs="Calibri"/>
          <w:lang w:val="en-US"/>
        </w:rPr>
      </w:pPr>
      <w:r w:rsidRPr="00F01A52">
        <w:rPr>
          <w:rFonts w:ascii="Garamond" w:hAnsi="Garamond" w:cs="Calibri"/>
          <w:lang w:val="en-US"/>
        </w:rPr>
        <w:t xml:space="preserve">Rauh, C. (2022). Clear messages to the European public? The language of European Commission press releases 1985–2020. </w:t>
      </w:r>
      <w:r w:rsidRPr="00F01A52">
        <w:rPr>
          <w:rFonts w:ascii="Garamond" w:hAnsi="Garamond" w:cs="Calibri"/>
          <w:i/>
          <w:iCs/>
          <w:lang w:val="en-US"/>
        </w:rPr>
        <w:t>Journal of European Integration</w:t>
      </w:r>
      <w:r w:rsidRPr="00F01A52">
        <w:rPr>
          <w:rFonts w:ascii="Garamond" w:hAnsi="Garamond" w:cs="Calibri"/>
          <w:lang w:val="en-US"/>
        </w:rPr>
        <w:t>, 1–19. https://doi.org/10.1080/07036337.2022.2134860</w:t>
      </w:r>
    </w:p>
    <w:p w14:paraId="18F090D5" w14:textId="77777777" w:rsidR="00F01A52" w:rsidRPr="00F01A52" w:rsidRDefault="00F01A52" w:rsidP="00F01A52">
      <w:pPr>
        <w:pStyle w:val="Bibliography"/>
        <w:rPr>
          <w:rFonts w:ascii="Garamond" w:hAnsi="Garamond" w:cs="Calibri"/>
          <w:lang w:val="en-US"/>
        </w:rPr>
      </w:pPr>
      <w:r w:rsidRPr="00F01A52">
        <w:rPr>
          <w:rFonts w:ascii="Garamond" w:hAnsi="Garamond" w:cs="Calibri"/>
          <w:lang w:val="en-US"/>
        </w:rPr>
        <w:t xml:space="preserve">van Apeldoorn, B., &amp; de Graaff, N. (2022). The state in global capitalism before and after the Covid-19 crisis. </w:t>
      </w:r>
      <w:r w:rsidRPr="00F01A52">
        <w:rPr>
          <w:rFonts w:ascii="Garamond" w:hAnsi="Garamond" w:cs="Calibri"/>
          <w:i/>
          <w:iCs/>
          <w:lang w:val="en-US"/>
        </w:rPr>
        <w:t>Contemporary Politics</w:t>
      </w:r>
      <w:r w:rsidRPr="00F01A52">
        <w:rPr>
          <w:rFonts w:ascii="Garamond" w:hAnsi="Garamond" w:cs="Calibri"/>
          <w:lang w:val="en-US"/>
        </w:rPr>
        <w:t xml:space="preserve">, </w:t>
      </w:r>
      <w:r w:rsidRPr="00F01A52">
        <w:rPr>
          <w:rFonts w:ascii="Garamond" w:hAnsi="Garamond" w:cs="Calibri"/>
          <w:i/>
          <w:iCs/>
          <w:lang w:val="en-US"/>
        </w:rPr>
        <w:t>28</w:t>
      </w:r>
      <w:r w:rsidRPr="00F01A52">
        <w:rPr>
          <w:rFonts w:ascii="Garamond" w:hAnsi="Garamond" w:cs="Calibri"/>
          <w:lang w:val="en-US"/>
        </w:rPr>
        <w:t>(3), 306–327. https://doi.org/10.1080/13569775.2021.2022337</w:t>
      </w:r>
    </w:p>
    <w:p w14:paraId="2A99C5DD" w14:textId="585596CB" w:rsidR="00C933C0" w:rsidRPr="00F01A52" w:rsidRDefault="008C013A" w:rsidP="00F01A52">
      <w:pPr>
        <w:pStyle w:val="BodyText"/>
        <w:rPr>
          <w:rFonts w:ascii="Garamond" w:hAnsi="Garamond"/>
        </w:rPr>
      </w:pPr>
      <w:r w:rsidRPr="00F01A52">
        <w:rPr>
          <w:rFonts w:ascii="Garamond" w:hAnsi="Garamond"/>
          <w:lang w:val="en-US"/>
        </w:rPr>
        <w:fldChar w:fldCharType="end"/>
      </w:r>
    </w:p>
    <w:sectPr w:rsidR="00C933C0" w:rsidRPr="00F01A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65FBC"/>
    <w:multiLevelType w:val="hybridMultilevel"/>
    <w:tmpl w:val="1E28646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97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72"/>
    <w:rsid w:val="000048BA"/>
    <w:rsid w:val="000151D3"/>
    <w:rsid w:val="0005337F"/>
    <w:rsid w:val="00056295"/>
    <w:rsid w:val="0008430A"/>
    <w:rsid w:val="00090FFC"/>
    <w:rsid w:val="000D1090"/>
    <w:rsid w:val="00113FEB"/>
    <w:rsid w:val="00122BC5"/>
    <w:rsid w:val="001911A6"/>
    <w:rsid w:val="001A3F17"/>
    <w:rsid w:val="0022222A"/>
    <w:rsid w:val="0023002D"/>
    <w:rsid w:val="00234ECD"/>
    <w:rsid w:val="0024402A"/>
    <w:rsid w:val="00250C68"/>
    <w:rsid w:val="0028276C"/>
    <w:rsid w:val="002A765B"/>
    <w:rsid w:val="002F03C0"/>
    <w:rsid w:val="003070DF"/>
    <w:rsid w:val="00315E97"/>
    <w:rsid w:val="00343B46"/>
    <w:rsid w:val="003504E3"/>
    <w:rsid w:val="00350E84"/>
    <w:rsid w:val="00351C22"/>
    <w:rsid w:val="00356947"/>
    <w:rsid w:val="00377D56"/>
    <w:rsid w:val="00391B98"/>
    <w:rsid w:val="003C5718"/>
    <w:rsid w:val="0042408E"/>
    <w:rsid w:val="004758F3"/>
    <w:rsid w:val="004A4FFF"/>
    <w:rsid w:val="004A6683"/>
    <w:rsid w:val="004B0ACA"/>
    <w:rsid w:val="004B59C7"/>
    <w:rsid w:val="004C05EC"/>
    <w:rsid w:val="004C13B1"/>
    <w:rsid w:val="004C5D5C"/>
    <w:rsid w:val="004E2198"/>
    <w:rsid w:val="005101BA"/>
    <w:rsid w:val="00517B73"/>
    <w:rsid w:val="00532270"/>
    <w:rsid w:val="00537743"/>
    <w:rsid w:val="0053774C"/>
    <w:rsid w:val="00543C17"/>
    <w:rsid w:val="00551B65"/>
    <w:rsid w:val="00586ABA"/>
    <w:rsid w:val="005912A2"/>
    <w:rsid w:val="005A396C"/>
    <w:rsid w:val="005B3A0C"/>
    <w:rsid w:val="005C1FE3"/>
    <w:rsid w:val="005D5332"/>
    <w:rsid w:val="005F74A3"/>
    <w:rsid w:val="00600272"/>
    <w:rsid w:val="00614383"/>
    <w:rsid w:val="00624779"/>
    <w:rsid w:val="0066793F"/>
    <w:rsid w:val="00672443"/>
    <w:rsid w:val="006754AB"/>
    <w:rsid w:val="0068559D"/>
    <w:rsid w:val="006A2475"/>
    <w:rsid w:val="006A798B"/>
    <w:rsid w:val="006B1E9A"/>
    <w:rsid w:val="006C77CF"/>
    <w:rsid w:val="006D69CE"/>
    <w:rsid w:val="007007EC"/>
    <w:rsid w:val="00720865"/>
    <w:rsid w:val="00732824"/>
    <w:rsid w:val="00754C34"/>
    <w:rsid w:val="0075530E"/>
    <w:rsid w:val="007744EA"/>
    <w:rsid w:val="00776137"/>
    <w:rsid w:val="007E7524"/>
    <w:rsid w:val="0080307A"/>
    <w:rsid w:val="00821BEA"/>
    <w:rsid w:val="00827E46"/>
    <w:rsid w:val="0088578B"/>
    <w:rsid w:val="00885AE9"/>
    <w:rsid w:val="008C013A"/>
    <w:rsid w:val="008C0A05"/>
    <w:rsid w:val="008D1D9C"/>
    <w:rsid w:val="008D7E6A"/>
    <w:rsid w:val="008E6976"/>
    <w:rsid w:val="008E6F4A"/>
    <w:rsid w:val="008E7C80"/>
    <w:rsid w:val="009137FE"/>
    <w:rsid w:val="00952F4B"/>
    <w:rsid w:val="00983393"/>
    <w:rsid w:val="00990BC1"/>
    <w:rsid w:val="009961FC"/>
    <w:rsid w:val="009A537E"/>
    <w:rsid w:val="009B4D54"/>
    <w:rsid w:val="009C4C22"/>
    <w:rsid w:val="009D1D31"/>
    <w:rsid w:val="009F3FF3"/>
    <w:rsid w:val="009F5B2B"/>
    <w:rsid w:val="00A32B4F"/>
    <w:rsid w:val="00A415CE"/>
    <w:rsid w:val="00A6439B"/>
    <w:rsid w:val="00A822AC"/>
    <w:rsid w:val="00AB7407"/>
    <w:rsid w:val="00B13FCF"/>
    <w:rsid w:val="00B21263"/>
    <w:rsid w:val="00B40F40"/>
    <w:rsid w:val="00B84704"/>
    <w:rsid w:val="00BF369A"/>
    <w:rsid w:val="00C04907"/>
    <w:rsid w:val="00C17116"/>
    <w:rsid w:val="00C45422"/>
    <w:rsid w:val="00C60274"/>
    <w:rsid w:val="00C65E34"/>
    <w:rsid w:val="00C66C06"/>
    <w:rsid w:val="00C872E0"/>
    <w:rsid w:val="00C876EF"/>
    <w:rsid w:val="00C933C0"/>
    <w:rsid w:val="00C944DA"/>
    <w:rsid w:val="00CA5505"/>
    <w:rsid w:val="00CB1092"/>
    <w:rsid w:val="00CD7DED"/>
    <w:rsid w:val="00D20BF3"/>
    <w:rsid w:val="00D423E3"/>
    <w:rsid w:val="00D555DA"/>
    <w:rsid w:val="00D558CE"/>
    <w:rsid w:val="00DB2EC4"/>
    <w:rsid w:val="00E40D29"/>
    <w:rsid w:val="00E449C6"/>
    <w:rsid w:val="00E46974"/>
    <w:rsid w:val="00E472B6"/>
    <w:rsid w:val="00E72F76"/>
    <w:rsid w:val="00EB0348"/>
    <w:rsid w:val="00F01A52"/>
    <w:rsid w:val="00F12114"/>
    <w:rsid w:val="00F278C9"/>
    <w:rsid w:val="00F452EF"/>
    <w:rsid w:val="00F465B5"/>
    <w:rsid w:val="00F8373A"/>
    <w:rsid w:val="00FB2A41"/>
    <w:rsid w:val="09B5412B"/>
    <w:rsid w:val="4A046E21"/>
    <w:rsid w:val="5664D07D"/>
    <w:rsid w:val="6B1FF9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7E4A"/>
  <w15:chartTrackingRefBased/>
  <w15:docId w15:val="{CA0293A6-CC66-524B-8271-98582801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before="300" w:after="3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
    <w:name w:val="Custom"/>
    <w:basedOn w:val="BodyText"/>
    <w:next w:val="BodyText"/>
    <w:autoRedefine/>
    <w:qFormat/>
    <w:rsid w:val="002A765B"/>
    <w:pPr>
      <w:spacing w:before="180" w:after="180"/>
    </w:pPr>
    <w:rPr>
      <w:rFonts w:ascii="Garamond" w:hAnsi="Garamond"/>
      <w:b/>
      <w:bCs/>
      <w:lang w:val="en-US"/>
    </w:rPr>
  </w:style>
  <w:style w:type="paragraph" w:styleId="BodyText">
    <w:name w:val="Body Text"/>
    <w:basedOn w:val="Normal"/>
    <w:link w:val="BodyTextChar"/>
    <w:unhideWhenUsed/>
    <w:rsid w:val="009961FC"/>
    <w:pPr>
      <w:spacing w:after="120"/>
    </w:pPr>
  </w:style>
  <w:style w:type="character" w:customStyle="1" w:styleId="BodyTextChar">
    <w:name w:val="Body Text Char"/>
    <w:basedOn w:val="DefaultParagraphFont"/>
    <w:link w:val="BodyText"/>
    <w:rsid w:val="009961FC"/>
  </w:style>
  <w:style w:type="paragraph" w:customStyle="1" w:styleId="Garamond">
    <w:name w:val="Garamond"/>
    <w:basedOn w:val="BodyText"/>
    <w:next w:val="BodyText"/>
    <w:autoRedefine/>
    <w:qFormat/>
    <w:rsid w:val="009A537E"/>
    <w:pPr>
      <w:spacing w:before="180" w:after="180"/>
    </w:pPr>
    <w:rPr>
      <w:rFonts w:ascii="Garamond" w:hAnsi="Garamond"/>
      <w:lang w:val="en-US"/>
    </w:rPr>
  </w:style>
  <w:style w:type="paragraph" w:customStyle="1" w:styleId="GaramondHeading">
    <w:name w:val="Garamond_Heading"/>
    <w:basedOn w:val="Garamond"/>
    <w:next w:val="Header"/>
    <w:rsid w:val="009A537E"/>
    <w:pPr>
      <w:spacing w:before="300" w:after="300"/>
    </w:pPr>
    <w:rPr>
      <w:b/>
      <w:color w:val="000000" w:themeColor="text1"/>
    </w:rPr>
  </w:style>
  <w:style w:type="paragraph" w:styleId="Header">
    <w:name w:val="header"/>
    <w:basedOn w:val="Normal"/>
    <w:link w:val="HeaderChar"/>
    <w:uiPriority w:val="99"/>
    <w:semiHidden/>
    <w:unhideWhenUsed/>
    <w:rsid w:val="009A537E"/>
    <w:pPr>
      <w:tabs>
        <w:tab w:val="center" w:pos="4680"/>
        <w:tab w:val="right" w:pos="9360"/>
      </w:tabs>
    </w:pPr>
  </w:style>
  <w:style w:type="character" w:customStyle="1" w:styleId="HeaderChar">
    <w:name w:val="Header Char"/>
    <w:basedOn w:val="DefaultParagraphFont"/>
    <w:link w:val="Header"/>
    <w:uiPriority w:val="99"/>
    <w:semiHidden/>
    <w:rsid w:val="009A537E"/>
  </w:style>
  <w:style w:type="paragraph" w:styleId="Bibliography">
    <w:name w:val="Bibliography"/>
    <w:basedOn w:val="Normal"/>
    <w:next w:val="Normal"/>
    <w:uiPriority w:val="37"/>
    <w:unhideWhenUsed/>
    <w:rsid w:val="008C013A"/>
    <w:pPr>
      <w:spacing w:after="0" w:line="480" w:lineRule="auto"/>
      <w:ind w:left="720" w:hanging="720"/>
    </w:pPr>
  </w:style>
  <w:style w:type="character" w:styleId="CommentReference">
    <w:name w:val="annotation reference"/>
    <w:basedOn w:val="DefaultParagraphFont"/>
    <w:uiPriority w:val="99"/>
    <w:semiHidden/>
    <w:unhideWhenUsed/>
    <w:rsid w:val="008C013A"/>
    <w:rPr>
      <w:sz w:val="16"/>
      <w:szCs w:val="16"/>
    </w:rPr>
  </w:style>
  <w:style w:type="character" w:styleId="Hyperlink">
    <w:name w:val="Hyperlink"/>
    <w:basedOn w:val="DefaultParagraphFont"/>
    <w:uiPriority w:val="99"/>
    <w:unhideWhenUsed/>
    <w:rsid w:val="008C013A"/>
    <w:rPr>
      <w:color w:val="0563C1" w:themeColor="hyperlink"/>
      <w:u w:val="single"/>
    </w:rPr>
  </w:style>
  <w:style w:type="character" w:styleId="FollowedHyperlink">
    <w:name w:val="FollowedHyperlink"/>
    <w:basedOn w:val="DefaultParagraphFont"/>
    <w:uiPriority w:val="99"/>
    <w:semiHidden/>
    <w:unhideWhenUsed/>
    <w:rsid w:val="008C013A"/>
    <w:rPr>
      <w:color w:val="954F72" w:themeColor="followed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F01A52"/>
    <w:pPr>
      <w:spacing w:before="0" w:line="240" w:lineRule="auto"/>
    </w:pPr>
    <w:rPr>
      <w:i/>
      <w:iCs/>
      <w:color w:val="44546A" w:themeColor="text2"/>
      <w:sz w:val="18"/>
      <w:szCs w:val="18"/>
    </w:rPr>
  </w:style>
  <w:style w:type="paragraph" w:styleId="ListParagraph">
    <w:name w:val="List Paragraph"/>
    <w:basedOn w:val="Normal"/>
    <w:uiPriority w:val="34"/>
    <w:qFormat/>
    <w:rsid w:val="00FB2A41"/>
    <w:pPr>
      <w:ind w:left="720"/>
      <w:contextualSpacing/>
    </w:pPr>
  </w:style>
  <w:style w:type="character" w:styleId="UnresolvedMention">
    <w:name w:val="Unresolved Mention"/>
    <w:basedOn w:val="DefaultParagraphFont"/>
    <w:uiPriority w:val="99"/>
    <w:semiHidden/>
    <w:unhideWhenUsed/>
    <w:rsid w:val="00F2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47083">
      <w:bodyDiv w:val="1"/>
      <w:marLeft w:val="0"/>
      <w:marRight w:val="0"/>
      <w:marTop w:val="0"/>
      <w:marBottom w:val="0"/>
      <w:divBdr>
        <w:top w:val="none" w:sz="0" w:space="0" w:color="auto"/>
        <w:left w:val="none" w:sz="0" w:space="0" w:color="auto"/>
        <w:bottom w:val="none" w:sz="0" w:space="0" w:color="auto"/>
        <w:right w:val="none" w:sz="0" w:space="0" w:color="auto"/>
      </w:divBdr>
      <w:divsChild>
        <w:div w:id="1758600109">
          <w:marLeft w:val="0"/>
          <w:marRight w:val="0"/>
          <w:marTop w:val="0"/>
          <w:marBottom w:val="0"/>
          <w:divBdr>
            <w:top w:val="none" w:sz="0" w:space="0" w:color="auto"/>
            <w:left w:val="none" w:sz="0" w:space="0" w:color="auto"/>
            <w:bottom w:val="none" w:sz="0" w:space="0" w:color="auto"/>
            <w:right w:val="none" w:sz="0" w:space="0" w:color="auto"/>
          </w:divBdr>
          <w:divsChild>
            <w:div w:id="1712341080">
              <w:marLeft w:val="0"/>
              <w:marRight w:val="0"/>
              <w:marTop w:val="0"/>
              <w:marBottom w:val="0"/>
              <w:divBdr>
                <w:top w:val="none" w:sz="0" w:space="0" w:color="auto"/>
                <w:left w:val="none" w:sz="0" w:space="0" w:color="auto"/>
                <w:bottom w:val="none" w:sz="0" w:space="0" w:color="auto"/>
                <w:right w:val="none" w:sz="0" w:space="0" w:color="auto"/>
              </w:divBdr>
            </w:div>
            <w:div w:id="2040888645">
              <w:marLeft w:val="0"/>
              <w:marRight w:val="0"/>
              <w:marTop w:val="0"/>
              <w:marBottom w:val="0"/>
              <w:divBdr>
                <w:top w:val="none" w:sz="0" w:space="0" w:color="auto"/>
                <w:left w:val="none" w:sz="0" w:space="0" w:color="auto"/>
                <w:bottom w:val="none" w:sz="0" w:space="0" w:color="auto"/>
                <w:right w:val="none" w:sz="0" w:space="0" w:color="auto"/>
              </w:divBdr>
            </w:div>
            <w:div w:id="2032560145">
              <w:marLeft w:val="0"/>
              <w:marRight w:val="0"/>
              <w:marTop w:val="0"/>
              <w:marBottom w:val="0"/>
              <w:divBdr>
                <w:top w:val="none" w:sz="0" w:space="0" w:color="auto"/>
                <w:left w:val="none" w:sz="0" w:space="0" w:color="auto"/>
                <w:bottom w:val="none" w:sz="0" w:space="0" w:color="auto"/>
                <w:right w:val="none" w:sz="0" w:space="0" w:color="auto"/>
              </w:divBdr>
            </w:div>
            <w:div w:id="3021118">
              <w:marLeft w:val="0"/>
              <w:marRight w:val="0"/>
              <w:marTop w:val="0"/>
              <w:marBottom w:val="0"/>
              <w:divBdr>
                <w:top w:val="none" w:sz="0" w:space="0" w:color="auto"/>
                <w:left w:val="none" w:sz="0" w:space="0" w:color="auto"/>
                <w:bottom w:val="none" w:sz="0" w:space="0" w:color="auto"/>
                <w:right w:val="none" w:sz="0" w:space="0" w:color="auto"/>
              </w:divBdr>
            </w:div>
            <w:div w:id="18291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5285">
      <w:bodyDiv w:val="1"/>
      <w:marLeft w:val="0"/>
      <w:marRight w:val="0"/>
      <w:marTop w:val="0"/>
      <w:marBottom w:val="0"/>
      <w:divBdr>
        <w:top w:val="none" w:sz="0" w:space="0" w:color="auto"/>
        <w:left w:val="none" w:sz="0" w:space="0" w:color="auto"/>
        <w:bottom w:val="none" w:sz="0" w:space="0" w:color="auto"/>
        <w:right w:val="none" w:sz="0" w:space="0" w:color="auto"/>
      </w:divBdr>
      <w:divsChild>
        <w:div w:id="1015888321">
          <w:marLeft w:val="0"/>
          <w:marRight w:val="0"/>
          <w:marTop w:val="0"/>
          <w:marBottom w:val="0"/>
          <w:divBdr>
            <w:top w:val="none" w:sz="0" w:space="0" w:color="auto"/>
            <w:left w:val="none" w:sz="0" w:space="0" w:color="auto"/>
            <w:bottom w:val="none" w:sz="0" w:space="0" w:color="auto"/>
            <w:right w:val="none" w:sz="0" w:space="0" w:color="auto"/>
          </w:divBdr>
          <w:divsChild>
            <w:div w:id="1390302846">
              <w:marLeft w:val="0"/>
              <w:marRight w:val="0"/>
              <w:marTop w:val="0"/>
              <w:marBottom w:val="0"/>
              <w:divBdr>
                <w:top w:val="none" w:sz="0" w:space="0" w:color="auto"/>
                <w:left w:val="none" w:sz="0" w:space="0" w:color="auto"/>
                <w:bottom w:val="none" w:sz="0" w:space="0" w:color="auto"/>
                <w:right w:val="none" w:sz="0" w:space="0" w:color="auto"/>
              </w:divBdr>
            </w:div>
            <w:div w:id="1247685914">
              <w:marLeft w:val="0"/>
              <w:marRight w:val="0"/>
              <w:marTop w:val="0"/>
              <w:marBottom w:val="0"/>
              <w:divBdr>
                <w:top w:val="none" w:sz="0" w:space="0" w:color="auto"/>
                <w:left w:val="none" w:sz="0" w:space="0" w:color="auto"/>
                <w:bottom w:val="none" w:sz="0" w:space="0" w:color="auto"/>
                <w:right w:val="none" w:sz="0" w:space="0" w:color="auto"/>
              </w:divBdr>
            </w:div>
            <w:div w:id="1557543640">
              <w:marLeft w:val="0"/>
              <w:marRight w:val="0"/>
              <w:marTop w:val="0"/>
              <w:marBottom w:val="0"/>
              <w:divBdr>
                <w:top w:val="none" w:sz="0" w:space="0" w:color="auto"/>
                <w:left w:val="none" w:sz="0" w:space="0" w:color="auto"/>
                <w:bottom w:val="none" w:sz="0" w:space="0" w:color="auto"/>
                <w:right w:val="none" w:sz="0" w:space="0" w:color="auto"/>
              </w:divBdr>
            </w:div>
            <w:div w:id="2006008073">
              <w:marLeft w:val="0"/>
              <w:marRight w:val="0"/>
              <w:marTop w:val="0"/>
              <w:marBottom w:val="0"/>
              <w:divBdr>
                <w:top w:val="none" w:sz="0" w:space="0" w:color="auto"/>
                <w:left w:val="none" w:sz="0" w:space="0" w:color="auto"/>
                <w:bottom w:val="none" w:sz="0" w:space="0" w:color="auto"/>
                <w:right w:val="none" w:sz="0" w:space="0" w:color="auto"/>
              </w:divBdr>
            </w:div>
            <w:div w:id="965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2414">
      <w:bodyDiv w:val="1"/>
      <w:marLeft w:val="0"/>
      <w:marRight w:val="0"/>
      <w:marTop w:val="0"/>
      <w:marBottom w:val="0"/>
      <w:divBdr>
        <w:top w:val="none" w:sz="0" w:space="0" w:color="auto"/>
        <w:left w:val="none" w:sz="0" w:space="0" w:color="auto"/>
        <w:bottom w:val="none" w:sz="0" w:space="0" w:color="auto"/>
        <w:right w:val="none" w:sz="0" w:space="0" w:color="auto"/>
      </w:divBdr>
      <w:divsChild>
        <w:div w:id="1693457626">
          <w:marLeft w:val="0"/>
          <w:marRight w:val="0"/>
          <w:marTop w:val="0"/>
          <w:marBottom w:val="0"/>
          <w:divBdr>
            <w:top w:val="none" w:sz="0" w:space="0" w:color="auto"/>
            <w:left w:val="none" w:sz="0" w:space="0" w:color="auto"/>
            <w:bottom w:val="none" w:sz="0" w:space="0" w:color="auto"/>
            <w:right w:val="none" w:sz="0" w:space="0" w:color="auto"/>
          </w:divBdr>
          <w:divsChild>
            <w:div w:id="2104257572">
              <w:marLeft w:val="0"/>
              <w:marRight w:val="0"/>
              <w:marTop w:val="0"/>
              <w:marBottom w:val="0"/>
              <w:divBdr>
                <w:top w:val="none" w:sz="0" w:space="0" w:color="auto"/>
                <w:left w:val="none" w:sz="0" w:space="0" w:color="auto"/>
                <w:bottom w:val="none" w:sz="0" w:space="0" w:color="auto"/>
                <w:right w:val="none" w:sz="0" w:space="0" w:color="auto"/>
              </w:divBdr>
            </w:div>
            <w:div w:id="1308586966">
              <w:marLeft w:val="0"/>
              <w:marRight w:val="0"/>
              <w:marTop w:val="0"/>
              <w:marBottom w:val="0"/>
              <w:divBdr>
                <w:top w:val="none" w:sz="0" w:space="0" w:color="auto"/>
                <w:left w:val="none" w:sz="0" w:space="0" w:color="auto"/>
                <w:bottom w:val="none" w:sz="0" w:space="0" w:color="auto"/>
                <w:right w:val="none" w:sz="0" w:space="0" w:color="auto"/>
              </w:divBdr>
            </w:div>
            <w:div w:id="1980765094">
              <w:marLeft w:val="0"/>
              <w:marRight w:val="0"/>
              <w:marTop w:val="0"/>
              <w:marBottom w:val="0"/>
              <w:divBdr>
                <w:top w:val="none" w:sz="0" w:space="0" w:color="auto"/>
                <w:left w:val="none" w:sz="0" w:space="0" w:color="auto"/>
                <w:bottom w:val="none" w:sz="0" w:space="0" w:color="auto"/>
                <w:right w:val="none" w:sz="0" w:space="0" w:color="auto"/>
              </w:divBdr>
            </w:div>
            <w:div w:id="1367173559">
              <w:marLeft w:val="0"/>
              <w:marRight w:val="0"/>
              <w:marTop w:val="0"/>
              <w:marBottom w:val="0"/>
              <w:divBdr>
                <w:top w:val="none" w:sz="0" w:space="0" w:color="auto"/>
                <w:left w:val="none" w:sz="0" w:space="0" w:color="auto"/>
                <w:bottom w:val="none" w:sz="0" w:space="0" w:color="auto"/>
                <w:right w:val="none" w:sz="0" w:space="0" w:color="auto"/>
              </w:divBdr>
            </w:div>
            <w:div w:id="901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32021D0820" TargetMode="External"/><Relationship Id="rId13" Type="http://schemas.openxmlformats.org/officeDocument/2006/relationships/hyperlink" Target="https://www.consilium.europa.eu/en/policies/eu-recovery-plan/repowereu/" TargetMode="External"/><Relationship Id="rId18" Type="http://schemas.openxmlformats.org/officeDocument/2006/relationships/hyperlink" Target="https://ec.europa.eu/commission/presscorner/detail/en/ip_23_335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vents@sciencebusiness.net._european" TargetMode="External"/><Relationship Id="rId12" Type="http://schemas.openxmlformats.org/officeDocument/2006/relationships/hyperlink" Target="https://www.linkedin.com/pulse/how-european-chips-act-put-europe-back-tech-race-thierry-breton/" TargetMode="External"/><Relationship Id="rId17" Type="http://schemas.openxmlformats.org/officeDocument/2006/relationships/hyperlink" Target="https://www.euractiv.com/section/economy-jobs/news/eus-breton-wants-sovereignty-fund-to-buy-out-firms-of-systemic-importance/" TargetMode="External"/><Relationship Id="rId2" Type="http://schemas.openxmlformats.org/officeDocument/2006/relationships/styles" Target="styles.xml"/><Relationship Id="rId16" Type="http://schemas.openxmlformats.org/officeDocument/2006/relationships/hyperlink" Target="https://eur-lex.europa.eu/legal-content/EN/TXT/HTML/?uri=CELEX:52023PC033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c.europa.eu/commission/presscorner/detail/en/ip_22_7656" TargetMode="External"/><Relationship Id="rId5" Type="http://schemas.openxmlformats.org/officeDocument/2006/relationships/hyperlink" Target="https://ec.europa.eu/commission/presscorner/home/en" TargetMode="External"/><Relationship Id="rId15" Type="http://schemas.openxmlformats.org/officeDocument/2006/relationships/hyperlink" Target="https://commission.europa.eu/strategy-and-policy/priorities-2019-2024/european-green-deal/green-deal-industrial-plan_en" TargetMode="External"/><Relationship Id="rId10" Type="http://schemas.openxmlformats.org/officeDocument/2006/relationships/hyperlink" Target="https://eur-lex.europa.eu/legal-content/EN/TXT/PDF/?uri=CELEX:52023JC0020" TargetMode="External"/><Relationship Id="rId19" Type="http://schemas.openxmlformats.org/officeDocument/2006/relationships/hyperlink" Target="https://ec.europa.eu/commission/presscorner/detail/en/speech_22_7487" TargetMode="External"/><Relationship Id="rId4" Type="http://schemas.openxmlformats.org/officeDocument/2006/relationships/webSettings" Target="webSettings.xml"/><Relationship Id="rId9" Type="http://schemas.openxmlformats.org/officeDocument/2006/relationships/hyperlink" Target="https://eur-lex.europa.eu/legal-content/EN/TXT/PDF/?uri=CELEX:52021XC1230(02" TargetMode="External"/><Relationship Id="rId14" Type="http://schemas.openxmlformats.org/officeDocument/2006/relationships/hyperlink" Target="https://www.eib.org/en/press/all/2023-056-launch-of-new-fund-of-funds-to-support-european-tech-champ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7803</Words>
  <Characters>44478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Seidl</dc:creator>
  <cp:keywords/>
  <dc:description/>
  <cp:lastModifiedBy>Timo Seidl</cp:lastModifiedBy>
  <cp:revision>12</cp:revision>
  <dcterms:created xsi:type="dcterms:W3CDTF">2023-04-07T15:09:00Z</dcterms:created>
  <dcterms:modified xsi:type="dcterms:W3CDTF">2023-08-09T12:22:00Z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zotero-version="6.0.23-beta.8+2e4fed400"&gt;&lt;session id="D96cL7PE"/&gt;&lt;style id="http://www.zotero.org/styles/apa" locale="en-US" hasBibliography="1" bibliographyStyleHasBeenSet="1"/&gt;&lt;prefs&gt;&lt;pref name="fieldType" value="Field"/&gt;&lt;/prefs&gt;&lt;</vt:lpwstr>
  </property>
  <property fmtid="{D5CDD505-2E9C-101B-9397-08002B2CF9AE}" pid="3" name="ZOTERO_PREF_2">
    <vt:lpwstr>/data&gt;</vt:lpwstr>
  </property>
</Properties>
</file>