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20DA09" w14:textId="684B22E0" w:rsidR="00C8248F" w:rsidRDefault="009F3CFA" w:rsidP="00C8248F">
      <w:pPr>
        <w:spacing w:line="48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Supplementary Information</w:t>
      </w:r>
    </w:p>
    <w:p w14:paraId="2759553A" w14:textId="77777777" w:rsidR="00C8248F" w:rsidRPr="00483758" w:rsidRDefault="00C8248F" w:rsidP="00C8248F">
      <w:pPr>
        <w:rPr>
          <w:sz w:val="22"/>
          <w:szCs w:val="22"/>
        </w:rPr>
      </w:pPr>
    </w:p>
    <w:p w14:paraId="26053807" w14:textId="77777777" w:rsidR="00471971" w:rsidRPr="00CB2A3C" w:rsidRDefault="00471971" w:rsidP="00471971">
      <w:pPr>
        <w:jc w:val="center"/>
        <w:rPr>
          <w:rFonts w:ascii="Times New Roman" w:hAnsi="Times New Roman" w:cs="Times New Roman"/>
          <w:sz w:val="22"/>
          <w:szCs w:val="22"/>
          <w:lang w:val="de-DE"/>
        </w:rPr>
      </w:pPr>
      <w:proofErr w:type="spellStart"/>
      <w:r w:rsidRPr="00CB2A3C">
        <w:rPr>
          <w:rFonts w:ascii="Times New Roman" w:hAnsi="Times New Roman" w:cs="Times New Roman"/>
          <w:sz w:val="22"/>
          <w:szCs w:val="22"/>
          <w:lang w:val="de-DE"/>
        </w:rPr>
        <w:t>Akash</w:t>
      </w:r>
      <w:proofErr w:type="spellEnd"/>
      <w:r w:rsidRPr="00CB2A3C">
        <w:rPr>
          <w:rFonts w:ascii="Times New Roman" w:hAnsi="Times New Roman" w:cs="Times New Roman"/>
          <w:sz w:val="22"/>
          <w:szCs w:val="22"/>
          <w:lang w:val="de-DE"/>
        </w:rPr>
        <w:t xml:space="preserve"> </w:t>
      </w:r>
      <w:proofErr w:type="spellStart"/>
      <w:r w:rsidRPr="00CB2A3C">
        <w:rPr>
          <w:rFonts w:ascii="Times New Roman" w:hAnsi="Times New Roman" w:cs="Times New Roman"/>
          <w:sz w:val="22"/>
          <w:szCs w:val="22"/>
          <w:lang w:val="de-DE"/>
        </w:rPr>
        <w:t>Ganguly</w:t>
      </w:r>
      <w:proofErr w:type="spellEnd"/>
      <w:r w:rsidRPr="00CB2A3C">
        <w:rPr>
          <w:rFonts w:ascii="Times New Roman" w:hAnsi="Times New Roman" w:cs="Times New Roman"/>
          <w:sz w:val="22"/>
          <w:szCs w:val="22"/>
          <w:lang w:val="de-DE"/>
        </w:rPr>
        <w:t>*</w:t>
      </w:r>
      <w:r w:rsidRPr="00CB2A3C">
        <w:rPr>
          <w:rFonts w:ascii="Times New Roman" w:hAnsi="Times New Roman" w:cs="Times New Roman"/>
          <w:sz w:val="22"/>
          <w:szCs w:val="22"/>
          <w:vertAlign w:val="superscript"/>
          <w:lang w:val="de-DE"/>
        </w:rPr>
        <w:t>,</w:t>
      </w:r>
      <w:r w:rsidRPr="00CB2A3C">
        <w:rPr>
          <w:rStyle w:val="Funotenzeichen"/>
          <w:rFonts w:ascii="Times New Roman" w:hAnsi="Times New Roman" w:cs="Times New Roman"/>
          <w:sz w:val="22"/>
          <w:szCs w:val="22"/>
        </w:rPr>
        <w:footnoteReference w:id="1"/>
      </w:r>
      <w:r>
        <w:rPr>
          <w:rFonts w:ascii="Times New Roman" w:hAnsi="Times New Roman" w:cs="Times New Roman"/>
          <w:sz w:val="22"/>
          <w:szCs w:val="22"/>
          <w:vertAlign w:val="superscript"/>
          <w:lang w:val="de-DE"/>
        </w:rPr>
        <w:t>,2</w:t>
      </w:r>
      <w:r w:rsidRPr="00CB2A3C">
        <w:rPr>
          <w:rFonts w:ascii="Times New Roman" w:hAnsi="Times New Roman" w:cs="Times New Roman"/>
          <w:sz w:val="22"/>
          <w:szCs w:val="22"/>
          <w:lang w:val="de-DE"/>
        </w:rPr>
        <w:t xml:space="preserve">, </w:t>
      </w:r>
      <w:proofErr w:type="spellStart"/>
      <w:r w:rsidRPr="00CB2A3C">
        <w:rPr>
          <w:rFonts w:ascii="Times New Roman" w:hAnsi="Times New Roman" w:cs="Times New Roman"/>
          <w:sz w:val="22"/>
          <w:szCs w:val="22"/>
          <w:lang w:val="de-DE"/>
        </w:rPr>
        <w:t>Virendra</w:t>
      </w:r>
      <w:proofErr w:type="spellEnd"/>
      <w:r w:rsidRPr="00CB2A3C">
        <w:rPr>
          <w:rFonts w:ascii="Times New Roman" w:hAnsi="Times New Roman" w:cs="Times New Roman"/>
          <w:sz w:val="22"/>
          <w:szCs w:val="22"/>
          <w:lang w:val="de-DE"/>
        </w:rPr>
        <w:t xml:space="preserve"> Padhya</w:t>
      </w:r>
      <w:r w:rsidRPr="00CB2A3C">
        <w:rPr>
          <w:rFonts w:ascii="Times New Roman" w:hAnsi="Times New Roman" w:cs="Times New Roman"/>
          <w:sz w:val="22"/>
          <w:szCs w:val="22"/>
          <w:vertAlign w:val="superscript"/>
          <w:lang w:val="de-DE"/>
        </w:rPr>
        <w:t>1</w:t>
      </w:r>
      <w:r w:rsidRPr="00CB2A3C">
        <w:rPr>
          <w:rFonts w:ascii="Times New Roman" w:hAnsi="Times New Roman" w:cs="Times New Roman"/>
          <w:sz w:val="22"/>
          <w:szCs w:val="22"/>
          <w:lang w:val="de-DE"/>
        </w:rPr>
        <w:t xml:space="preserve">, </w:t>
      </w:r>
      <w:proofErr w:type="spellStart"/>
      <w:r w:rsidRPr="00CB2A3C">
        <w:rPr>
          <w:rFonts w:ascii="Times New Roman" w:hAnsi="Times New Roman" w:cs="Times New Roman"/>
          <w:sz w:val="22"/>
          <w:szCs w:val="22"/>
          <w:lang w:val="de-DE"/>
        </w:rPr>
        <w:t>Harsh</w:t>
      </w:r>
      <w:proofErr w:type="spellEnd"/>
      <w:r w:rsidRPr="00CB2A3C">
        <w:rPr>
          <w:rFonts w:ascii="Times New Roman" w:hAnsi="Times New Roman" w:cs="Times New Roman"/>
          <w:sz w:val="22"/>
          <w:szCs w:val="22"/>
          <w:lang w:val="de-DE"/>
        </w:rPr>
        <w:t xml:space="preserve"> Oza</w:t>
      </w:r>
      <w:r w:rsidRPr="00CB2A3C">
        <w:rPr>
          <w:rFonts w:ascii="Times New Roman" w:hAnsi="Times New Roman" w:cs="Times New Roman"/>
          <w:sz w:val="22"/>
          <w:szCs w:val="22"/>
          <w:vertAlign w:val="superscript"/>
          <w:lang w:val="de-DE"/>
        </w:rPr>
        <w:t>1</w:t>
      </w:r>
      <w:r w:rsidRPr="00CB2A3C">
        <w:rPr>
          <w:rFonts w:ascii="Times New Roman" w:hAnsi="Times New Roman" w:cs="Times New Roman"/>
          <w:sz w:val="22"/>
          <w:szCs w:val="22"/>
          <w:lang w:val="de-DE"/>
        </w:rPr>
        <w:t>, Gerhard Strauch</w:t>
      </w:r>
      <w:r>
        <w:rPr>
          <w:rFonts w:ascii="Times New Roman" w:hAnsi="Times New Roman" w:cs="Times New Roman"/>
          <w:sz w:val="22"/>
          <w:szCs w:val="22"/>
          <w:vertAlign w:val="superscript"/>
          <w:lang w:val="de-DE"/>
        </w:rPr>
        <w:t>3</w:t>
      </w:r>
      <w:r w:rsidRPr="00CB2A3C">
        <w:rPr>
          <w:rFonts w:ascii="Times New Roman" w:hAnsi="Times New Roman" w:cs="Times New Roman"/>
          <w:sz w:val="22"/>
          <w:szCs w:val="22"/>
          <w:lang w:val="de-DE"/>
        </w:rPr>
        <w:t>, R.D. Deshpande</w:t>
      </w:r>
      <w:r w:rsidRPr="00CB2A3C">
        <w:rPr>
          <w:rFonts w:ascii="Times New Roman" w:hAnsi="Times New Roman" w:cs="Times New Roman"/>
          <w:sz w:val="22"/>
          <w:szCs w:val="22"/>
          <w:vertAlign w:val="superscript"/>
          <w:lang w:val="de-DE"/>
        </w:rPr>
        <w:t>1</w:t>
      </w:r>
    </w:p>
    <w:p w14:paraId="3143304C" w14:textId="77777777" w:rsidR="00471971" w:rsidRDefault="00471971" w:rsidP="00471971">
      <w:pPr>
        <w:pStyle w:val="berschrift1"/>
        <w:spacing w:line="240" w:lineRule="auto"/>
        <w:rPr>
          <w:rFonts w:asciiTheme="minorHAnsi" w:hAnsiTheme="minorHAnsi"/>
          <w:color w:val="auto"/>
          <w:sz w:val="22"/>
          <w:szCs w:val="22"/>
        </w:rPr>
      </w:pPr>
      <w:r w:rsidRPr="00483758">
        <w:rPr>
          <w:rFonts w:asciiTheme="minorHAnsi" w:hAnsiTheme="minorHAnsi"/>
          <w:color w:val="auto"/>
          <w:sz w:val="22"/>
          <w:szCs w:val="22"/>
          <w:vertAlign w:val="superscript"/>
        </w:rPr>
        <w:t>1</w:t>
      </w:r>
      <w:r w:rsidRPr="00483758">
        <w:rPr>
          <w:rFonts w:asciiTheme="minorHAnsi" w:hAnsiTheme="minorHAnsi"/>
          <w:color w:val="auto"/>
          <w:sz w:val="22"/>
          <w:szCs w:val="22"/>
        </w:rPr>
        <w:t xml:space="preserve">Geosciences Division, Physical Research Laboratory, </w:t>
      </w:r>
      <w:proofErr w:type="spellStart"/>
      <w:r w:rsidRPr="00483758">
        <w:rPr>
          <w:rFonts w:asciiTheme="minorHAnsi" w:hAnsiTheme="minorHAnsi"/>
          <w:color w:val="auto"/>
          <w:sz w:val="22"/>
          <w:szCs w:val="22"/>
        </w:rPr>
        <w:t>Navrangpura</w:t>
      </w:r>
      <w:proofErr w:type="spellEnd"/>
      <w:r w:rsidRPr="00483758">
        <w:rPr>
          <w:rFonts w:asciiTheme="minorHAnsi" w:hAnsiTheme="minorHAnsi"/>
          <w:color w:val="auto"/>
          <w:sz w:val="22"/>
          <w:szCs w:val="22"/>
        </w:rPr>
        <w:t>, Ahmedabad, 380009, India</w:t>
      </w:r>
    </w:p>
    <w:p w14:paraId="79A09F95" w14:textId="77777777" w:rsidR="00471971" w:rsidRPr="00D22357" w:rsidRDefault="00471971" w:rsidP="00471971">
      <w:pPr>
        <w:pStyle w:val="berschrift1"/>
        <w:rPr>
          <w:rFonts w:asciiTheme="minorHAnsi" w:hAnsiTheme="minorHAnsi"/>
          <w:color w:val="auto"/>
          <w:sz w:val="22"/>
          <w:szCs w:val="22"/>
        </w:rPr>
      </w:pPr>
      <w:r w:rsidRPr="00C24ABD">
        <w:rPr>
          <w:rFonts w:asciiTheme="minorHAnsi" w:hAnsiTheme="minorHAnsi"/>
          <w:color w:val="auto"/>
          <w:sz w:val="22"/>
          <w:szCs w:val="22"/>
          <w:vertAlign w:val="superscript"/>
        </w:rPr>
        <w:t>2</w:t>
      </w:r>
      <w:r w:rsidRPr="00C24ABD">
        <w:rPr>
          <w:rFonts w:asciiTheme="minorHAnsi" w:hAnsiTheme="minorHAnsi"/>
          <w:color w:val="auto"/>
          <w:sz w:val="22"/>
          <w:szCs w:val="22"/>
        </w:rPr>
        <w:t>Indian Institute of Technology Gandhinagar, Gandhinagar, 382355, India</w:t>
      </w:r>
      <w:bookmarkStart w:id="0" w:name="_GoBack"/>
      <w:bookmarkEnd w:id="0"/>
    </w:p>
    <w:p w14:paraId="7537B4CE" w14:textId="22171E60" w:rsidR="007843DF" w:rsidRDefault="00471971" w:rsidP="00471971">
      <w:pPr>
        <w:pStyle w:val="Titel"/>
        <w:rPr>
          <w:b/>
          <w:bCs/>
          <w:noProof/>
        </w:rPr>
      </w:pPr>
      <w:r>
        <w:rPr>
          <w:sz w:val="22"/>
          <w:szCs w:val="22"/>
          <w:vertAlign w:val="superscript"/>
        </w:rPr>
        <w:t>3</w:t>
      </w:r>
      <w:r w:rsidRPr="007E7953">
        <w:rPr>
          <w:rFonts w:cstheme="minorHAnsi"/>
          <w:color w:val="333333"/>
          <w:sz w:val="22"/>
          <w:szCs w:val="22"/>
          <w:shd w:val="clear" w:color="auto" w:fill="FFFFFF"/>
        </w:rPr>
        <w:t>Department of Hydrogeology, UFZ – Helmholtz Centre for Environmental Research, Germany</w:t>
      </w:r>
    </w:p>
    <w:p w14:paraId="2490AA57" w14:textId="14F735BE" w:rsidR="007843DF" w:rsidRDefault="007843DF" w:rsidP="00721D70">
      <w:pPr>
        <w:keepNext/>
        <w:jc w:val="center"/>
        <w:rPr>
          <w:b/>
          <w:bCs/>
          <w:noProof/>
          <w:sz w:val="40"/>
          <w:szCs w:val="40"/>
        </w:rPr>
      </w:pPr>
      <w:r w:rsidRPr="007843DF">
        <w:rPr>
          <w:b/>
          <w:bCs/>
          <w:noProof/>
          <w:sz w:val="40"/>
          <w:szCs w:val="40"/>
        </w:rPr>
        <w:lastRenderedPageBreak/>
        <w:t>Supplementary Material</w:t>
      </w:r>
    </w:p>
    <w:p w14:paraId="693A0308" w14:textId="464B98AB" w:rsidR="00721D70" w:rsidRPr="002F1820" w:rsidRDefault="009F3CFA" w:rsidP="007C6913">
      <w:pPr>
        <w:keepNext/>
        <w:jc w:val="center"/>
        <w:rPr>
          <w:iCs/>
          <w:sz w:val="22"/>
          <w:szCs w:val="22"/>
        </w:rPr>
      </w:pPr>
      <w:r>
        <w:rPr>
          <w:noProof/>
          <w:lang w:val="de-DE" w:eastAsia="de-DE"/>
        </w:rPr>
        <w:drawing>
          <wp:inline distT="0" distB="0" distL="0" distR="0" wp14:anchorId="41D84DBB" wp14:editId="142DB405">
            <wp:extent cx="5731510" cy="66757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D70" w:rsidRPr="002F1820">
        <w:rPr>
          <w:iCs/>
          <w:color w:val="000000" w:themeColor="text1"/>
          <w:sz w:val="22"/>
          <w:szCs w:val="22"/>
        </w:rPr>
        <w:t xml:space="preserve">Figure </w:t>
      </w:r>
      <w:r w:rsidR="00721D70">
        <w:rPr>
          <w:iCs/>
          <w:color w:val="000000" w:themeColor="text1"/>
          <w:sz w:val="22"/>
          <w:szCs w:val="22"/>
        </w:rPr>
        <w:t>S1</w:t>
      </w:r>
      <w:r w:rsidR="00721D70" w:rsidRPr="002F1820">
        <w:rPr>
          <w:iCs/>
          <w:color w:val="000000" w:themeColor="text1"/>
          <w:sz w:val="22"/>
          <w:szCs w:val="22"/>
        </w:rPr>
        <w:t>. (a)- The isotopic difference (</w:t>
      </w:r>
      <w:r w:rsidR="00721D70" w:rsidRPr="002F1820">
        <w:rPr>
          <w:rFonts w:ascii="Symbol" w:hAnsi="Symbol"/>
          <w:iCs/>
          <w:color w:val="000000" w:themeColor="text1"/>
          <w:sz w:val="22"/>
          <w:szCs w:val="22"/>
        </w:rPr>
        <w:t></w:t>
      </w:r>
      <w:r w:rsidR="00721D70" w:rsidRPr="002F1820">
        <w:rPr>
          <w:iCs/>
          <w:color w:val="000000" w:themeColor="text1"/>
          <w:sz w:val="22"/>
          <w:szCs w:val="22"/>
        </w:rPr>
        <w:t xml:space="preserve"> = </w:t>
      </w:r>
      <w:r w:rsidR="00721D70" w:rsidRPr="002F1820">
        <w:rPr>
          <w:rFonts w:ascii="Symbol" w:hAnsi="Symbol"/>
          <w:iCs/>
          <w:color w:val="000000" w:themeColor="text1"/>
          <w:sz w:val="22"/>
          <w:szCs w:val="22"/>
        </w:rPr>
        <w:t></w:t>
      </w:r>
      <w:r w:rsidR="00721D70" w:rsidRPr="002F1820">
        <w:rPr>
          <w:iCs/>
          <w:color w:val="000000" w:themeColor="text1"/>
          <w:sz w:val="22"/>
          <w:szCs w:val="22"/>
          <w:vertAlign w:val="subscript"/>
        </w:rPr>
        <w:t>liquid</w:t>
      </w:r>
      <w:r w:rsidR="00721D70" w:rsidRPr="002F1820">
        <w:rPr>
          <w:iCs/>
          <w:color w:val="000000" w:themeColor="text1"/>
          <w:sz w:val="22"/>
          <w:szCs w:val="22"/>
        </w:rPr>
        <w:t xml:space="preserve"> - </w:t>
      </w:r>
      <w:r w:rsidR="00721D70" w:rsidRPr="002F1820">
        <w:rPr>
          <w:rFonts w:ascii="Symbol" w:hAnsi="Symbol"/>
          <w:iCs/>
          <w:color w:val="000000" w:themeColor="text1"/>
          <w:sz w:val="22"/>
          <w:szCs w:val="22"/>
        </w:rPr>
        <w:t></w:t>
      </w:r>
      <w:r w:rsidR="00721D70">
        <w:rPr>
          <w:iCs/>
          <w:color w:val="000000" w:themeColor="text1"/>
          <w:sz w:val="22"/>
          <w:szCs w:val="22"/>
          <w:vertAlign w:val="subscript"/>
        </w:rPr>
        <w:t>vapor</w:t>
      </w:r>
      <w:r w:rsidR="00721D70" w:rsidRPr="002F1820">
        <w:rPr>
          <w:iCs/>
          <w:color w:val="000000" w:themeColor="text1"/>
          <w:sz w:val="22"/>
          <w:szCs w:val="22"/>
        </w:rPr>
        <w:t>) in δ</w:t>
      </w:r>
      <w:r w:rsidR="00721D70" w:rsidRPr="002F1820">
        <w:rPr>
          <w:iCs/>
          <w:color w:val="000000" w:themeColor="text1"/>
          <w:sz w:val="22"/>
          <w:szCs w:val="22"/>
          <w:vertAlign w:val="superscript"/>
        </w:rPr>
        <w:t>18</w:t>
      </w:r>
      <w:r w:rsidR="00721D70" w:rsidRPr="002F1820">
        <w:rPr>
          <w:iCs/>
          <w:color w:val="000000" w:themeColor="text1"/>
          <w:sz w:val="22"/>
          <w:szCs w:val="22"/>
        </w:rPr>
        <w:t xml:space="preserve">O between each pair of liquid and </w:t>
      </w:r>
      <w:r w:rsidR="00721D70">
        <w:rPr>
          <w:iCs/>
          <w:color w:val="000000" w:themeColor="text1"/>
          <w:sz w:val="22"/>
          <w:szCs w:val="22"/>
        </w:rPr>
        <w:t>vapor</w:t>
      </w:r>
      <w:r w:rsidR="00721D70" w:rsidRPr="002F1820">
        <w:rPr>
          <w:iCs/>
          <w:color w:val="000000" w:themeColor="text1"/>
          <w:sz w:val="22"/>
          <w:szCs w:val="22"/>
        </w:rPr>
        <w:t xml:space="preserve"> samples is plotted against its </w:t>
      </w:r>
      <w:r w:rsidR="00721D70">
        <w:rPr>
          <w:iCs/>
          <w:color w:val="000000" w:themeColor="text1"/>
          <w:sz w:val="22"/>
          <w:szCs w:val="22"/>
        </w:rPr>
        <w:t>T</w:t>
      </w:r>
      <w:r w:rsidR="00721D70" w:rsidRPr="002F1820">
        <w:rPr>
          <w:iCs/>
          <w:color w:val="000000" w:themeColor="text1"/>
          <w:sz w:val="22"/>
          <w:szCs w:val="22"/>
        </w:rPr>
        <w:t xml:space="preserve"> and RH, within a narrow range of S</w:t>
      </w:r>
      <w:r w:rsidR="00721D70" w:rsidRPr="002F1820">
        <w:rPr>
          <w:iCs/>
          <w:color w:val="000000" w:themeColor="text1"/>
          <w:sz w:val="22"/>
          <w:szCs w:val="22"/>
          <w:vertAlign w:val="subscript"/>
        </w:rPr>
        <w:t>i</w:t>
      </w:r>
      <w:r w:rsidR="00721D70" w:rsidRPr="002F1820">
        <w:rPr>
          <w:iCs/>
          <w:color w:val="000000" w:themeColor="text1"/>
          <w:sz w:val="22"/>
          <w:szCs w:val="22"/>
        </w:rPr>
        <w:t xml:space="preserve"> (</w:t>
      </w:r>
      <w:r w:rsidR="00721D70">
        <w:rPr>
          <w:iCs/>
          <w:color w:val="000000" w:themeColor="text1"/>
          <w:sz w:val="22"/>
          <w:szCs w:val="22"/>
        </w:rPr>
        <w:t>3</w:t>
      </w:r>
      <w:r w:rsidR="00721D70" w:rsidRPr="002F1820">
        <w:rPr>
          <w:iCs/>
          <w:color w:val="000000" w:themeColor="text1"/>
          <w:sz w:val="22"/>
          <w:szCs w:val="22"/>
        </w:rPr>
        <w:t xml:space="preserve">.5 to 5.5). </w:t>
      </w:r>
      <w:r w:rsidR="00721D70">
        <w:rPr>
          <w:iCs/>
          <w:color w:val="000000" w:themeColor="text1"/>
          <w:sz w:val="22"/>
          <w:szCs w:val="22"/>
        </w:rPr>
        <w:t>The</w:t>
      </w:r>
      <w:r w:rsidR="00721D70" w:rsidRPr="002F1820">
        <w:rPr>
          <w:rFonts w:cstheme="minorHAnsi"/>
          <w:iCs/>
          <w:sz w:val="22"/>
          <w:szCs w:val="22"/>
          <w:lang w:val="en-IN"/>
        </w:rPr>
        <w:t xml:space="preserve"> darker sh</w:t>
      </w:r>
      <w:r w:rsidR="00D07903">
        <w:rPr>
          <w:rFonts w:cstheme="minorHAnsi"/>
          <w:iCs/>
          <w:sz w:val="22"/>
          <w:szCs w:val="22"/>
          <w:lang w:val="en-IN"/>
        </w:rPr>
        <w:t xml:space="preserve">aded </w:t>
      </w:r>
      <w:r w:rsidR="00721D70" w:rsidRPr="002F1820">
        <w:rPr>
          <w:rFonts w:cstheme="minorHAnsi"/>
          <w:iCs/>
          <w:sz w:val="22"/>
          <w:szCs w:val="22"/>
          <w:lang w:val="en-IN"/>
        </w:rPr>
        <w:t xml:space="preserve">represents more depleted liquid compared to </w:t>
      </w:r>
      <w:proofErr w:type="spellStart"/>
      <w:r w:rsidR="00721D70">
        <w:rPr>
          <w:rFonts w:cstheme="minorHAnsi"/>
          <w:iCs/>
          <w:sz w:val="22"/>
          <w:szCs w:val="22"/>
          <w:lang w:val="en-IN"/>
        </w:rPr>
        <w:t>vapor</w:t>
      </w:r>
      <w:proofErr w:type="spellEnd"/>
      <w:r w:rsidR="00721D70" w:rsidRPr="002F1820">
        <w:rPr>
          <w:rFonts w:cstheme="minorHAnsi"/>
          <w:iCs/>
          <w:sz w:val="22"/>
          <w:szCs w:val="22"/>
          <w:lang w:val="en-IN"/>
        </w:rPr>
        <w:t>, representing more fractionation.</w:t>
      </w:r>
      <w:r w:rsidR="00721D70">
        <w:rPr>
          <w:rFonts w:cstheme="minorHAnsi"/>
          <w:iCs/>
          <w:sz w:val="22"/>
          <w:szCs w:val="22"/>
          <w:lang w:val="en-IN"/>
        </w:rPr>
        <w:t xml:space="preserve"> </w:t>
      </w:r>
      <w:r w:rsidR="00721D70" w:rsidRPr="002F1820">
        <w:rPr>
          <w:iCs/>
          <w:color w:val="000000" w:themeColor="text1"/>
          <w:sz w:val="22"/>
          <w:szCs w:val="22"/>
        </w:rPr>
        <w:t xml:space="preserve">The greater </w:t>
      </w:r>
      <w:r w:rsidR="00721D70" w:rsidRPr="002F1820">
        <w:rPr>
          <w:iCs/>
          <w:color w:val="000000" w:themeColor="text1"/>
          <w:sz w:val="22"/>
          <w:szCs w:val="22"/>
        </w:rPr>
        <w:lastRenderedPageBreak/>
        <w:t xml:space="preserve">extent of isotopic depletion due to more kinetic fractionation is observed under lower </w:t>
      </w:r>
      <w:r w:rsidR="00721D70">
        <w:rPr>
          <w:iCs/>
          <w:color w:val="000000" w:themeColor="text1"/>
          <w:sz w:val="22"/>
          <w:szCs w:val="22"/>
        </w:rPr>
        <w:t xml:space="preserve">T - </w:t>
      </w:r>
      <w:r w:rsidR="00721D70" w:rsidRPr="002F1820">
        <w:rPr>
          <w:iCs/>
          <w:color w:val="000000" w:themeColor="text1"/>
          <w:sz w:val="22"/>
          <w:szCs w:val="22"/>
        </w:rPr>
        <w:t xml:space="preserve">higher RH condition, within a narrow range of supersaturation; (b) </w:t>
      </w:r>
      <w:proofErr w:type="gramStart"/>
      <w:r w:rsidR="00721D70" w:rsidRPr="002F1820">
        <w:rPr>
          <w:iCs/>
          <w:color w:val="000000" w:themeColor="text1"/>
          <w:sz w:val="22"/>
          <w:szCs w:val="22"/>
        </w:rPr>
        <w:t>The</w:t>
      </w:r>
      <w:proofErr w:type="gramEnd"/>
      <w:r w:rsidR="00721D70" w:rsidRPr="002F1820">
        <w:rPr>
          <w:iCs/>
          <w:color w:val="000000" w:themeColor="text1"/>
          <w:sz w:val="22"/>
          <w:szCs w:val="22"/>
        </w:rPr>
        <w:t xml:space="preserve"> similar plot for δ</w:t>
      </w:r>
      <w:r w:rsidR="00D07903">
        <w:rPr>
          <w:iCs/>
          <w:color w:val="000000" w:themeColor="text1"/>
          <w:sz w:val="22"/>
          <w:szCs w:val="22"/>
          <w:vertAlign w:val="superscript"/>
        </w:rPr>
        <w:t>2</w:t>
      </w:r>
      <w:r w:rsidR="00D07903">
        <w:rPr>
          <w:iCs/>
          <w:color w:val="000000" w:themeColor="text1"/>
          <w:sz w:val="22"/>
          <w:szCs w:val="22"/>
        </w:rPr>
        <w:t>H</w:t>
      </w:r>
      <w:r w:rsidR="00721D70" w:rsidRPr="002F1820">
        <w:rPr>
          <w:iCs/>
          <w:color w:val="000000" w:themeColor="text1"/>
          <w:sz w:val="22"/>
          <w:szCs w:val="22"/>
        </w:rPr>
        <w:t xml:space="preserve">. </w:t>
      </w:r>
    </w:p>
    <w:p w14:paraId="3397B778" w14:textId="2F77F533" w:rsidR="00721D70" w:rsidRDefault="00D07903" w:rsidP="00721D70">
      <w:pPr>
        <w:keepNext/>
        <w:jc w:val="center"/>
      </w:pPr>
      <w:r>
        <w:rPr>
          <w:noProof/>
          <w:lang w:val="de-DE" w:eastAsia="de-DE"/>
        </w:rPr>
        <w:drawing>
          <wp:inline distT="0" distB="0" distL="0" distR="0" wp14:anchorId="00107A69" wp14:editId="5A9D97C8">
            <wp:extent cx="5731510" cy="66960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63B60" w14:textId="0BEDA94C" w:rsidR="00721D70" w:rsidRPr="00721D70" w:rsidRDefault="00721D70" w:rsidP="00721D70">
      <w:pPr>
        <w:jc w:val="both"/>
        <w:rPr>
          <w:color w:val="000000" w:themeColor="text1"/>
          <w:sz w:val="22"/>
          <w:szCs w:val="22"/>
        </w:rPr>
      </w:pPr>
      <w:bookmarkStart w:id="1" w:name="_Hlk74240354"/>
      <w:r w:rsidRPr="00721D70">
        <w:rPr>
          <w:color w:val="000000" w:themeColor="text1"/>
          <w:sz w:val="22"/>
          <w:szCs w:val="22"/>
        </w:rPr>
        <w:t>Figure S2. (a) The isotopic difference (</w:t>
      </w:r>
      <w:r w:rsidRPr="00721D70">
        <w:rPr>
          <w:rFonts w:ascii="Symbol" w:hAnsi="Symbol"/>
          <w:color w:val="000000" w:themeColor="text1"/>
          <w:sz w:val="22"/>
          <w:szCs w:val="22"/>
        </w:rPr>
        <w:t></w:t>
      </w:r>
      <w:r w:rsidRPr="00721D70">
        <w:rPr>
          <w:color w:val="000000" w:themeColor="text1"/>
          <w:sz w:val="22"/>
          <w:szCs w:val="22"/>
        </w:rPr>
        <w:t xml:space="preserve"> = </w:t>
      </w:r>
      <w:r w:rsidRPr="00721D70">
        <w:rPr>
          <w:rFonts w:ascii="Symbol" w:hAnsi="Symbol"/>
          <w:color w:val="000000" w:themeColor="text1"/>
          <w:sz w:val="22"/>
          <w:szCs w:val="22"/>
        </w:rPr>
        <w:t></w:t>
      </w:r>
      <w:r w:rsidRPr="00721D70">
        <w:rPr>
          <w:color w:val="000000" w:themeColor="text1"/>
          <w:sz w:val="22"/>
          <w:szCs w:val="22"/>
          <w:vertAlign w:val="subscript"/>
        </w:rPr>
        <w:t>liquid</w:t>
      </w:r>
      <w:r w:rsidRPr="00721D70">
        <w:rPr>
          <w:color w:val="000000" w:themeColor="text1"/>
          <w:sz w:val="22"/>
          <w:szCs w:val="22"/>
        </w:rPr>
        <w:t xml:space="preserve"> - </w:t>
      </w:r>
      <w:r w:rsidRPr="00721D70">
        <w:rPr>
          <w:rFonts w:ascii="Symbol" w:hAnsi="Symbol"/>
          <w:color w:val="000000" w:themeColor="text1"/>
          <w:sz w:val="22"/>
          <w:szCs w:val="22"/>
        </w:rPr>
        <w:t></w:t>
      </w:r>
      <w:r w:rsidRPr="00721D70">
        <w:rPr>
          <w:color w:val="000000" w:themeColor="text1"/>
          <w:sz w:val="22"/>
          <w:szCs w:val="22"/>
          <w:vertAlign w:val="subscript"/>
        </w:rPr>
        <w:t>vapor)</w:t>
      </w:r>
      <w:r w:rsidRPr="00721D70">
        <w:rPr>
          <w:color w:val="000000" w:themeColor="text1"/>
          <w:sz w:val="22"/>
          <w:szCs w:val="22"/>
        </w:rPr>
        <w:t xml:space="preserve"> in δ</w:t>
      </w:r>
      <w:r w:rsidRPr="00721D70">
        <w:rPr>
          <w:color w:val="000000" w:themeColor="text1"/>
          <w:sz w:val="22"/>
          <w:szCs w:val="22"/>
          <w:vertAlign w:val="superscript"/>
        </w:rPr>
        <w:t>18</w:t>
      </w:r>
      <w:r w:rsidRPr="00721D70">
        <w:rPr>
          <w:color w:val="000000" w:themeColor="text1"/>
          <w:sz w:val="22"/>
          <w:szCs w:val="22"/>
        </w:rPr>
        <w:t>O between each pair of liquid and vapor samples is plotted against δ</w:t>
      </w:r>
      <w:r w:rsidRPr="00721D70">
        <w:rPr>
          <w:color w:val="000000" w:themeColor="text1"/>
          <w:sz w:val="22"/>
          <w:szCs w:val="22"/>
          <w:vertAlign w:val="superscript"/>
        </w:rPr>
        <w:t>18</w:t>
      </w:r>
      <w:r w:rsidRPr="00721D70">
        <w:rPr>
          <w:color w:val="000000" w:themeColor="text1"/>
          <w:sz w:val="22"/>
          <w:szCs w:val="22"/>
        </w:rPr>
        <w:t>O of liquid, for a narrow range of S</w:t>
      </w:r>
      <w:r w:rsidRPr="00721D70">
        <w:rPr>
          <w:color w:val="000000" w:themeColor="text1"/>
          <w:sz w:val="22"/>
          <w:szCs w:val="22"/>
          <w:vertAlign w:val="subscript"/>
        </w:rPr>
        <w:t>i</w:t>
      </w:r>
      <w:r w:rsidRPr="00721D70">
        <w:rPr>
          <w:color w:val="000000" w:themeColor="text1"/>
          <w:sz w:val="22"/>
          <w:szCs w:val="22"/>
        </w:rPr>
        <w:t xml:space="preserve"> (3.5 to 5.5) showing positive correlation between the two which confirms that isotopic </w:t>
      </w:r>
      <w:r w:rsidR="005B6EC7">
        <w:rPr>
          <w:color w:val="000000" w:themeColor="text1"/>
          <w:sz w:val="22"/>
          <w:szCs w:val="22"/>
        </w:rPr>
        <w:t xml:space="preserve">depletion varies even under </w:t>
      </w:r>
      <w:r w:rsidR="00D07903">
        <w:rPr>
          <w:color w:val="000000" w:themeColor="text1"/>
          <w:sz w:val="22"/>
          <w:szCs w:val="22"/>
        </w:rPr>
        <w:t>similar extent of supersaturation</w:t>
      </w:r>
      <w:r w:rsidRPr="00721D70">
        <w:rPr>
          <w:color w:val="000000" w:themeColor="text1"/>
          <w:sz w:val="22"/>
          <w:szCs w:val="22"/>
        </w:rPr>
        <w:t>.  (b) The similar plot for δ</w:t>
      </w:r>
      <w:r w:rsidR="00D07903">
        <w:rPr>
          <w:color w:val="000000" w:themeColor="text1"/>
          <w:sz w:val="22"/>
          <w:szCs w:val="22"/>
          <w:vertAlign w:val="superscript"/>
        </w:rPr>
        <w:t>2</w:t>
      </w:r>
      <w:r w:rsidR="00D07903">
        <w:rPr>
          <w:color w:val="000000" w:themeColor="text1"/>
          <w:sz w:val="22"/>
          <w:szCs w:val="22"/>
        </w:rPr>
        <w:t>H</w:t>
      </w:r>
      <w:r w:rsidRPr="00721D70">
        <w:rPr>
          <w:color w:val="000000" w:themeColor="text1"/>
          <w:sz w:val="22"/>
          <w:szCs w:val="22"/>
        </w:rPr>
        <w:t>.</w:t>
      </w:r>
    </w:p>
    <w:p w14:paraId="21FF0BE7" w14:textId="77777777" w:rsidR="00721D70" w:rsidRPr="00721D70" w:rsidRDefault="00721D70" w:rsidP="00721D70">
      <w:pPr>
        <w:jc w:val="both"/>
        <w:rPr>
          <w:color w:val="000000" w:themeColor="text1"/>
          <w:sz w:val="22"/>
          <w:szCs w:val="22"/>
        </w:rPr>
      </w:pPr>
    </w:p>
    <w:bookmarkEnd w:id="1"/>
    <w:p w14:paraId="2B9C78FA" w14:textId="58F3D208" w:rsidR="00721D70" w:rsidRDefault="00D07903">
      <w:r>
        <w:rPr>
          <w:noProof/>
          <w:lang w:val="de-DE" w:eastAsia="de-DE"/>
        </w:rPr>
        <w:lastRenderedPageBreak/>
        <w:drawing>
          <wp:inline distT="0" distB="0" distL="0" distR="0" wp14:anchorId="734D70F1" wp14:editId="28A26725">
            <wp:extent cx="5731510" cy="67075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D70" w:rsidRPr="00721D70">
        <w:t xml:space="preserve"> </w:t>
      </w:r>
    </w:p>
    <w:p w14:paraId="2CD9D601" w14:textId="244A38FB" w:rsidR="00721D70" w:rsidRPr="00721D70" w:rsidRDefault="00721D70" w:rsidP="00721D70">
      <w:pPr>
        <w:jc w:val="both"/>
        <w:rPr>
          <w:color w:val="000000" w:themeColor="text1"/>
          <w:sz w:val="22"/>
          <w:szCs w:val="22"/>
        </w:rPr>
      </w:pPr>
      <w:r w:rsidRPr="00721D70">
        <w:rPr>
          <w:color w:val="000000" w:themeColor="text1"/>
          <w:sz w:val="22"/>
          <w:szCs w:val="22"/>
        </w:rPr>
        <w:t>Figure S</w:t>
      </w:r>
      <w:r>
        <w:rPr>
          <w:color w:val="000000" w:themeColor="text1"/>
          <w:sz w:val="22"/>
          <w:szCs w:val="22"/>
        </w:rPr>
        <w:t>3</w:t>
      </w:r>
      <w:r w:rsidRPr="00721D70">
        <w:rPr>
          <w:color w:val="000000" w:themeColor="text1"/>
          <w:sz w:val="22"/>
          <w:szCs w:val="22"/>
        </w:rPr>
        <w:t>. (a) The isotopic difference (</w:t>
      </w:r>
      <w:r w:rsidRPr="00721D70">
        <w:rPr>
          <w:rFonts w:ascii="Symbol" w:hAnsi="Symbol"/>
          <w:color w:val="000000" w:themeColor="text1"/>
          <w:sz w:val="22"/>
          <w:szCs w:val="22"/>
        </w:rPr>
        <w:t></w:t>
      </w:r>
      <w:r w:rsidRPr="00721D70">
        <w:rPr>
          <w:color w:val="000000" w:themeColor="text1"/>
          <w:sz w:val="22"/>
          <w:szCs w:val="22"/>
        </w:rPr>
        <w:t xml:space="preserve"> = </w:t>
      </w:r>
      <w:r w:rsidRPr="00721D70">
        <w:rPr>
          <w:rFonts w:ascii="Symbol" w:hAnsi="Symbol"/>
          <w:color w:val="000000" w:themeColor="text1"/>
          <w:sz w:val="22"/>
          <w:szCs w:val="22"/>
        </w:rPr>
        <w:t></w:t>
      </w:r>
      <w:r w:rsidRPr="00721D70">
        <w:rPr>
          <w:color w:val="000000" w:themeColor="text1"/>
          <w:sz w:val="22"/>
          <w:szCs w:val="22"/>
          <w:vertAlign w:val="subscript"/>
        </w:rPr>
        <w:t>liquid</w:t>
      </w:r>
      <w:r w:rsidRPr="00721D70">
        <w:rPr>
          <w:color w:val="000000" w:themeColor="text1"/>
          <w:sz w:val="22"/>
          <w:szCs w:val="22"/>
        </w:rPr>
        <w:t xml:space="preserve"> - </w:t>
      </w:r>
      <w:r w:rsidRPr="00721D70">
        <w:rPr>
          <w:rFonts w:ascii="Symbol" w:hAnsi="Symbol"/>
          <w:color w:val="000000" w:themeColor="text1"/>
          <w:sz w:val="22"/>
          <w:szCs w:val="22"/>
        </w:rPr>
        <w:t></w:t>
      </w:r>
      <w:r w:rsidRPr="00721D70">
        <w:rPr>
          <w:color w:val="000000" w:themeColor="text1"/>
          <w:sz w:val="22"/>
          <w:szCs w:val="22"/>
          <w:vertAlign w:val="subscript"/>
        </w:rPr>
        <w:t>vapor)</w:t>
      </w:r>
      <w:r w:rsidRPr="00721D70">
        <w:rPr>
          <w:color w:val="000000" w:themeColor="text1"/>
          <w:sz w:val="22"/>
          <w:szCs w:val="22"/>
        </w:rPr>
        <w:t xml:space="preserve"> in δ</w:t>
      </w:r>
      <w:r w:rsidRPr="00721D70">
        <w:rPr>
          <w:color w:val="000000" w:themeColor="text1"/>
          <w:sz w:val="22"/>
          <w:szCs w:val="22"/>
          <w:vertAlign w:val="superscript"/>
        </w:rPr>
        <w:t>18</w:t>
      </w:r>
      <w:r w:rsidRPr="00721D70">
        <w:rPr>
          <w:color w:val="000000" w:themeColor="text1"/>
          <w:sz w:val="22"/>
          <w:szCs w:val="22"/>
        </w:rPr>
        <w:t>O between each pair of liquid and vapor samples is plotted against δ</w:t>
      </w:r>
      <w:r w:rsidRPr="00721D70">
        <w:rPr>
          <w:color w:val="000000" w:themeColor="text1"/>
          <w:sz w:val="22"/>
          <w:szCs w:val="22"/>
          <w:vertAlign w:val="superscript"/>
        </w:rPr>
        <w:t>18</w:t>
      </w:r>
      <w:r w:rsidRPr="00721D70">
        <w:rPr>
          <w:color w:val="000000" w:themeColor="text1"/>
          <w:sz w:val="22"/>
          <w:szCs w:val="22"/>
        </w:rPr>
        <w:t xml:space="preserve">O of </w:t>
      </w:r>
      <w:proofErr w:type="spellStart"/>
      <w:r w:rsidR="005B6EC7">
        <w:rPr>
          <w:color w:val="000000" w:themeColor="text1"/>
          <w:sz w:val="22"/>
          <w:szCs w:val="22"/>
        </w:rPr>
        <w:t>vapour</w:t>
      </w:r>
      <w:proofErr w:type="spellEnd"/>
      <w:r w:rsidRPr="00721D70">
        <w:rPr>
          <w:color w:val="000000" w:themeColor="text1"/>
          <w:sz w:val="22"/>
          <w:szCs w:val="22"/>
        </w:rPr>
        <w:t xml:space="preserve"> for a narrow range of S</w:t>
      </w:r>
      <w:r w:rsidRPr="00721D70">
        <w:rPr>
          <w:color w:val="000000" w:themeColor="text1"/>
          <w:sz w:val="22"/>
          <w:szCs w:val="22"/>
          <w:vertAlign w:val="subscript"/>
        </w:rPr>
        <w:t>i</w:t>
      </w:r>
      <w:r w:rsidRPr="00721D70">
        <w:rPr>
          <w:color w:val="000000" w:themeColor="text1"/>
          <w:sz w:val="22"/>
          <w:szCs w:val="22"/>
        </w:rPr>
        <w:t xml:space="preserve"> (3.5 to </w:t>
      </w:r>
      <w:r w:rsidR="005B6EC7">
        <w:rPr>
          <w:color w:val="000000" w:themeColor="text1"/>
          <w:sz w:val="22"/>
          <w:szCs w:val="22"/>
        </w:rPr>
        <w:t>4</w:t>
      </w:r>
      <w:r w:rsidRPr="00721D70">
        <w:rPr>
          <w:color w:val="000000" w:themeColor="text1"/>
          <w:sz w:val="22"/>
          <w:szCs w:val="22"/>
        </w:rPr>
        <w:t xml:space="preserve">.5) showing </w:t>
      </w:r>
      <w:r w:rsidR="005B6EC7">
        <w:rPr>
          <w:color w:val="000000" w:themeColor="text1"/>
          <w:sz w:val="22"/>
          <w:szCs w:val="22"/>
        </w:rPr>
        <w:t>no</w:t>
      </w:r>
      <w:r w:rsidRPr="00721D70">
        <w:rPr>
          <w:color w:val="000000" w:themeColor="text1"/>
          <w:sz w:val="22"/>
          <w:szCs w:val="22"/>
        </w:rPr>
        <w:t xml:space="preserve"> correlation between the two which confirms that isotopic d</w:t>
      </w:r>
      <w:r w:rsidR="005B6EC7">
        <w:rPr>
          <w:color w:val="000000" w:themeColor="text1"/>
          <w:sz w:val="22"/>
          <w:szCs w:val="22"/>
        </w:rPr>
        <w:t>epletion is independent of the</w:t>
      </w:r>
      <w:r w:rsidRPr="00721D70">
        <w:rPr>
          <w:color w:val="000000" w:themeColor="text1"/>
          <w:sz w:val="22"/>
          <w:szCs w:val="22"/>
        </w:rPr>
        <w:t xml:space="preserve"> δ</w:t>
      </w:r>
      <w:r w:rsidRPr="00721D70">
        <w:rPr>
          <w:color w:val="000000" w:themeColor="text1"/>
          <w:sz w:val="22"/>
          <w:szCs w:val="22"/>
          <w:vertAlign w:val="superscript"/>
        </w:rPr>
        <w:t>18</w:t>
      </w:r>
      <w:r w:rsidRPr="00721D70">
        <w:rPr>
          <w:color w:val="000000" w:themeColor="text1"/>
          <w:sz w:val="22"/>
          <w:szCs w:val="22"/>
        </w:rPr>
        <w:t xml:space="preserve">O of </w:t>
      </w:r>
      <w:r w:rsidR="005B6EC7">
        <w:rPr>
          <w:color w:val="000000" w:themeColor="text1"/>
          <w:sz w:val="22"/>
          <w:szCs w:val="22"/>
        </w:rPr>
        <w:t xml:space="preserve">starting </w:t>
      </w:r>
      <w:proofErr w:type="spellStart"/>
      <w:r w:rsidR="005B6EC7">
        <w:rPr>
          <w:color w:val="000000" w:themeColor="text1"/>
          <w:sz w:val="22"/>
          <w:szCs w:val="22"/>
        </w:rPr>
        <w:t>vapour</w:t>
      </w:r>
      <w:proofErr w:type="spellEnd"/>
      <w:r w:rsidRPr="00721D70">
        <w:rPr>
          <w:color w:val="000000" w:themeColor="text1"/>
          <w:sz w:val="22"/>
          <w:szCs w:val="22"/>
        </w:rPr>
        <w:t>.  (b) The similar plot for δ</w:t>
      </w:r>
      <w:r w:rsidR="00D07903">
        <w:rPr>
          <w:color w:val="000000" w:themeColor="text1"/>
          <w:sz w:val="22"/>
          <w:szCs w:val="22"/>
          <w:vertAlign w:val="superscript"/>
        </w:rPr>
        <w:t>2</w:t>
      </w:r>
      <w:r w:rsidR="00D07903">
        <w:rPr>
          <w:color w:val="000000" w:themeColor="text1"/>
          <w:sz w:val="22"/>
          <w:szCs w:val="22"/>
        </w:rPr>
        <w:t>H</w:t>
      </w:r>
      <w:r w:rsidRPr="00721D70">
        <w:rPr>
          <w:color w:val="000000" w:themeColor="text1"/>
          <w:sz w:val="22"/>
          <w:szCs w:val="22"/>
        </w:rPr>
        <w:t>.</w:t>
      </w:r>
    </w:p>
    <w:p w14:paraId="1FD501B9" w14:textId="17105FAB" w:rsidR="005B6EC7" w:rsidRPr="00721D70" w:rsidRDefault="005B79BB" w:rsidP="005B6EC7">
      <w:pPr>
        <w:jc w:val="both"/>
        <w:rPr>
          <w:color w:val="000000" w:themeColor="text1"/>
          <w:sz w:val="22"/>
          <w:szCs w:val="22"/>
        </w:rPr>
      </w:pPr>
      <w:r>
        <w:rPr>
          <w:noProof/>
          <w:lang w:val="de-DE" w:eastAsia="de-DE"/>
        </w:rPr>
        <w:drawing>
          <wp:inline distT="0" distB="0" distL="0" distR="0" wp14:anchorId="1E4CAFAC" wp14:editId="624FF35D">
            <wp:extent cx="5731510" cy="66960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EC7" w:rsidRPr="005B6EC7">
        <w:rPr>
          <w:color w:val="000000" w:themeColor="text1"/>
          <w:sz w:val="22"/>
          <w:szCs w:val="22"/>
        </w:rPr>
        <w:t xml:space="preserve"> </w:t>
      </w:r>
      <w:r w:rsidR="005B6EC7" w:rsidRPr="00721D70">
        <w:rPr>
          <w:color w:val="000000" w:themeColor="text1"/>
          <w:sz w:val="22"/>
          <w:szCs w:val="22"/>
        </w:rPr>
        <w:t>Figure S</w:t>
      </w:r>
      <w:r w:rsidR="005B6EC7">
        <w:rPr>
          <w:color w:val="000000" w:themeColor="text1"/>
          <w:sz w:val="22"/>
          <w:szCs w:val="22"/>
        </w:rPr>
        <w:t>4</w:t>
      </w:r>
      <w:r w:rsidR="005B6EC7" w:rsidRPr="00721D70">
        <w:rPr>
          <w:color w:val="000000" w:themeColor="text1"/>
          <w:sz w:val="22"/>
          <w:szCs w:val="22"/>
        </w:rPr>
        <w:t>. (a) The isotopic difference (</w:t>
      </w:r>
      <w:r w:rsidR="005B6EC7" w:rsidRPr="00721D70">
        <w:rPr>
          <w:rFonts w:ascii="Symbol" w:hAnsi="Symbol"/>
          <w:color w:val="000000" w:themeColor="text1"/>
          <w:sz w:val="22"/>
          <w:szCs w:val="22"/>
        </w:rPr>
        <w:t></w:t>
      </w:r>
      <w:r w:rsidR="005B6EC7" w:rsidRPr="00721D70">
        <w:rPr>
          <w:color w:val="000000" w:themeColor="text1"/>
          <w:sz w:val="22"/>
          <w:szCs w:val="22"/>
        </w:rPr>
        <w:t xml:space="preserve"> = </w:t>
      </w:r>
      <w:r w:rsidR="005B6EC7" w:rsidRPr="00721D70">
        <w:rPr>
          <w:rFonts w:ascii="Symbol" w:hAnsi="Symbol"/>
          <w:color w:val="000000" w:themeColor="text1"/>
          <w:sz w:val="22"/>
          <w:szCs w:val="22"/>
        </w:rPr>
        <w:t></w:t>
      </w:r>
      <w:r w:rsidR="005B6EC7" w:rsidRPr="00721D70">
        <w:rPr>
          <w:color w:val="000000" w:themeColor="text1"/>
          <w:sz w:val="22"/>
          <w:szCs w:val="22"/>
          <w:vertAlign w:val="subscript"/>
        </w:rPr>
        <w:t>liquid</w:t>
      </w:r>
      <w:r w:rsidR="005B6EC7" w:rsidRPr="00721D70">
        <w:rPr>
          <w:color w:val="000000" w:themeColor="text1"/>
          <w:sz w:val="22"/>
          <w:szCs w:val="22"/>
        </w:rPr>
        <w:t xml:space="preserve"> - </w:t>
      </w:r>
      <w:r w:rsidR="005B6EC7" w:rsidRPr="00721D70">
        <w:rPr>
          <w:rFonts w:ascii="Symbol" w:hAnsi="Symbol"/>
          <w:color w:val="000000" w:themeColor="text1"/>
          <w:sz w:val="22"/>
          <w:szCs w:val="22"/>
        </w:rPr>
        <w:t></w:t>
      </w:r>
      <w:r w:rsidR="005B6EC7" w:rsidRPr="00721D70">
        <w:rPr>
          <w:color w:val="000000" w:themeColor="text1"/>
          <w:sz w:val="22"/>
          <w:szCs w:val="22"/>
          <w:vertAlign w:val="subscript"/>
        </w:rPr>
        <w:t>vapor)</w:t>
      </w:r>
      <w:r w:rsidR="005B6EC7" w:rsidRPr="00721D70">
        <w:rPr>
          <w:color w:val="000000" w:themeColor="text1"/>
          <w:sz w:val="22"/>
          <w:szCs w:val="22"/>
        </w:rPr>
        <w:t xml:space="preserve"> in δ</w:t>
      </w:r>
      <w:r w:rsidR="005B6EC7" w:rsidRPr="00721D70">
        <w:rPr>
          <w:color w:val="000000" w:themeColor="text1"/>
          <w:sz w:val="22"/>
          <w:szCs w:val="22"/>
          <w:vertAlign w:val="superscript"/>
        </w:rPr>
        <w:t>18</w:t>
      </w:r>
      <w:r w:rsidR="005B6EC7" w:rsidRPr="00721D70">
        <w:rPr>
          <w:color w:val="000000" w:themeColor="text1"/>
          <w:sz w:val="22"/>
          <w:szCs w:val="22"/>
        </w:rPr>
        <w:t>O between each pair of liquid and vapor samples is plotted against δ</w:t>
      </w:r>
      <w:r w:rsidR="005B6EC7" w:rsidRPr="00721D70">
        <w:rPr>
          <w:color w:val="000000" w:themeColor="text1"/>
          <w:sz w:val="22"/>
          <w:szCs w:val="22"/>
          <w:vertAlign w:val="superscript"/>
        </w:rPr>
        <w:t>18</w:t>
      </w:r>
      <w:r w:rsidR="005B6EC7" w:rsidRPr="00721D70">
        <w:rPr>
          <w:color w:val="000000" w:themeColor="text1"/>
          <w:sz w:val="22"/>
          <w:szCs w:val="22"/>
        </w:rPr>
        <w:t xml:space="preserve">O of </w:t>
      </w:r>
      <w:proofErr w:type="spellStart"/>
      <w:r w:rsidR="005B6EC7">
        <w:rPr>
          <w:color w:val="000000" w:themeColor="text1"/>
          <w:sz w:val="22"/>
          <w:szCs w:val="22"/>
        </w:rPr>
        <w:t>vapour</w:t>
      </w:r>
      <w:proofErr w:type="spellEnd"/>
      <w:r w:rsidR="005B6EC7" w:rsidRPr="00721D70">
        <w:rPr>
          <w:color w:val="000000" w:themeColor="text1"/>
          <w:sz w:val="22"/>
          <w:szCs w:val="22"/>
        </w:rPr>
        <w:t xml:space="preserve"> for a narrow range of S</w:t>
      </w:r>
      <w:r w:rsidR="005B6EC7" w:rsidRPr="00721D70">
        <w:rPr>
          <w:color w:val="000000" w:themeColor="text1"/>
          <w:sz w:val="22"/>
          <w:szCs w:val="22"/>
          <w:vertAlign w:val="subscript"/>
        </w:rPr>
        <w:t>i</w:t>
      </w:r>
      <w:r w:rsidR="005B6EC7" w:rsidRPr="00721D70">
        <w:rPr>
          <w:color w:val="000000" w:themeColor="text1"/>
          <w:sz w:val="22"/>
          <w:szCs w:val="22"/>
        </w:rPr>
        <w:t xml:space="preserve"> (3.5 to </w:t>
      </w:r>
      <w:r w:rsidR="005B6EC7">
        <w:rPr>
          <w:color w:val="000000" w:themeColor="text1"/>
          <w:sz w:val="22"/>
          <w:szCs w:val="22"/>
        </w:rPr>
        <w:t>5</w:t>
      </w:r>
      <w:r w:rsidR="005B6EC7" w:rsidRPr="00721D70">
        <w:rPr>
          <w:color w:val="000000" w:themeColor="text1"/>
          <w:sz w:val="22"/>
          <w:szCs w:val="22"/>
        </w:rPr>
        <w:t xml:space="preserve">.5) showing </w:t>
      </w:r>
      <w:r w:rsidR="005B6EC7">
        <w:rPr>
          <w:color w:val="000000" w:themeColor="text1"/>
          <w:sz w:val="22"/>
          <w:szCs w:val="22"/>
        </w:rPr>
        <w:t>no</w:t>
      </w:r>
      <w:r w:rsidR="005B6EC7" w:rsidRPr="00721D70">
        <w:rPr>
          <w:color w:val="000000" w:themeColor="text1"/>
          <w:sz w:val="22"/>
          <w:szCs w:val="22"/>
        </w:rPr>
        <w:t xml:space="preserve"> correlation between the two which confirms that isotopic d</w:t>
      </w:r>
      <w:r w:rsidR="005B6EC7">
        <w:rPr>
          <w:color w:val="000000" w:themeColor="text1"/>
          <w:sz w:val="22"/>
          <w:szCs w:val="22"/>
        </w:rPr>
        <w:t>epletion is independent of the</w:t>
      </w:r>
      <w:r w:rsidR="005B6EC7" w:rsidRPr="00721D70">
        <w:rPr>
          <w:color w:val="000000" w:themeColor="text1"/>
          <w:sz w:val="22"/>
          <w:szCs w:val="22"/>
        </w:rPr>
        <w:t xml:space="preserve"> δ</w:t>
      </w:r>
      <w:r w:rsidR="005B6EC7" w:rsidRPr="00721D70">
        <w:rPr>
          <w:color w:val="000000" w:themeColor="text1"/>
          <w:sz w:val="22"/>
          <w:szCs w:val="22"/>
          <w:vertAlign w:val="superscript"/>
        </w:rPr>
        <w:t>18</w:t>
      </w:r>
      <w:r w:rsidR="005B6EC7" w:rsidRPr="00721D70">
        <w:rPr>
          <w:color w:val="000000" w:themeColor="text1"/>
          <w:sz w:val="22"/>
          <w:szCs w:val="22"/>
        </w:rPr>
        <w:t xml:space="preserve">O of </w:t>
      </w:r>
      <w:r w:rsidR="005B6EC7">
        <w:rPr>
          <w:color w:val="000000" w:themeColor="text1"/>
          <w:sz w:val="22"/>
          <w:szCs w:val="22"/>
        </w:rPr>
        <w:t xml:space="preserve">starting </w:t>
      </w:r>
      <w:proofErr w:type="spellStart"/>
      <w:r w:rsidR="005B6EC7">
        <w:rPr>
          <w:color w:val="000000" w:themeColor="text1"/>
          <w:sz w:val="22"/>
          <w:szCs w:val="22"/>
        </w:rPr>
        <w:t>vapour</w:t>
      </w:r>
      <w:proofErr w:type="spellEnd"/>
      <w:r w:rsidR="005B6EC7" w:rsidRPr="00721D70">
        <w:rPr>
          <w:color w:val="000000" w:themeColor="text1"/>
          <w:sz w:val="22"/>
          <w:szCs w:val="22"/>
        </w:rPr>
        <w:t>.  (b) The similar plot for δ</w:t>
      </w:r>
      <w:r>
        <w:rPr>
          <w:color w:val="000000" w:themeColor="text1"/>
          <w:sz w:val="22"/>
          <w:szCs w:val="22"/>
          <w:vertAlign w:val="superscript"/>
        </w:rPr>
        <w:t>2</w:t>
      </w:r>
      <w:r>
        <w:rPr>
          <w:color w:val="000000" w:themeColor="text1"/>
          <w:sz w:val="22"/>
          <w:szCs w:val="22"/>
        </w:rPr>
        <w:t>H</w:t>
      </w:r>
      <w:r w:rsidR="005B6EC7" w:rsidRPr="00721D70">
        <w:rPr>
          <w:color w:val="000000" w:themeColor="text1"/>
          <w:sz w:val="22"/>
          <w:szCs w:val="22"/>
        </w:rPr>
        <w:t>.</w:t>
      </w:r>
    </w:p>
    <w:p w14:paraId="31F48837" w14:textId="0BD0BDC7" w:rsidR="00EB0405" w:rsidRDefault="00EB0405"/>
    <w:p w14:paraId="620D28EC" w14:textId="2DE7D754" w:rsidR="007C6913" w:rsidRDefault="007C6913"/>
    <w:p w14:paraId="323C7314" w14:textId="54179DA2" w:rsidR="007C6913" w:rsidRDefault="007C6913"/>
    <w:p w14:paraId="781F7483" w14:textId="69C5BD66" w:rsidR="007C6913" w:rsidRDefault="007C6913" w:rsidP="007C6913"/>
    <w:p w14:paraId="61FFDCFA" w14:textId="2FCD4461" w:rsidR="007C6913" w:rsidRDefault="007C6913" w:rsidP="007C6913"/>
    <w:p w14:paraId="70C503BE" w14:textId="512D8D4E" w:rsidR="007C6913" w:rsidRDefault="007C6913" w:rsidP="007C6913"/>
    <w:p w14:paraId="5B92B7C9" w14:textId="26A17AAE" w:rsidR="007C6913" w:rsidRDefault="007C6913" w:rsidP="007C6913"/>
    <w:tbl>
      <w:tblPr>
        <w:tblStyle w:val="Tabellenraster"/>
        <w:tblW w:w="8853" w:type="dxa"/>
        <w:tblInd w:w="279" w:type="dxa"/>
        <w:tblLook w:val="04A0" w:firstRow="1" w:lastRow="0" w:firstColumn="1" w:lastColumn="0" w:noHBand="0" w:noVBand="1"/>
      </w:tblPr>
      <w:tblGrid>
        <w:gridCol w:w="2342"/>
        <w:gridCol w:w="3464"/>
        <w:gridCol w:w="3047"/>
      </w:tblGrid>
      <w:tr w:rsidR="007C6913" w:rsidRPr="00CB2A3C" w14:paraId="6CE6A07C" w14:textId="77777777" w:rsidTr="00493D1F">
        <w:trPr>
          <w:trHeight w:val="1084"/>
        </w:trPr>
        <w:tc>
          <w:tcPr>
            <w:tcW w:w="2342" w:type="dxa"/>
          </w:tcPr>
          <w:p w14:paraId="392B67FF" w14:textId="77777777" w:rsidR="007C6913" w:rsidRPr="00CB2A3C" w:rsidRDefault="007C6913" w:rsidP="000E1BF7">
            <w:pPr>
              <w:jc w:val="center"/>
              <w:rPr>
                <w:rFonts w:ascii="Times New Roman" w:hAnsi="Times New Roman" w:cs="Times New Roman"/>
                <w:b/>
                <w:bCs/>
                <w:lang w:val="en-IN"/>
              </w:rPr>
            </w:pPr>
            <w:r w:rsidRPr="00CB2A3C">
              <w:rPr>
                <w:rFonts w:ascii="Times New Roman" w:hAnsi="Times New Roman" w:cs="Times New Roman"/>
                <w:b/>
                <w:bCs/>
                <w:lang w:val="en-IN"/>
              </w:rPr>
              <w:t>Model Architecture and</w:t>
            </w:r>
          </w:p>
          <w:p w14:paraId="5141715C" w14:textId="77777777" w:rsidR="007C6913" w:rsidRPr="00CB2A3C" w:rsidRDefault="007C6913" w:rsidP="000E1BF7">
            <w:pPr>
              <w:jc w:val="center"/>
              <w:rPr>
                <w:rFonts w:ascii="Times New Roman" w:hAnsi="Times New Roman" w:cs="Times New Roman"/>
                <w:b/>
                <w:bCs/>
                <w:lang w:val="en-IN"/>
              </w:rPr>
            </w:pPr>
          </w:p>
          <w:p w14:paraId="56A6BA73" w14:textId="77777777" w:rsidR="007C6913" w:rsidRPr="00CB2A3C" w:rsidRDefault="007C6913" w:rsidP="000E1BF7">
            <w:pPr>
              <w:jc w:val="center"/>
              <w:rPr>
                <w:rFonts w:ascii="Times New Roman" w:hAnsi="Times New Roman" w:cs="Times New Roman"/>
                <w:b/>
                <w:bCs/>
                <w:lang w:val="en-IN"/>
              </w:rPr>
            </w:pPr>
            <w:r w:rsidRPr="00CB2A3C">
              <w:rPr>
                <w:rFonts w:ascii="Times New Roman" w:hAnsi="Times New Roman" w:cs="Times New Roman"/>
                <w:b/>
                <w:bCs/>
                <w:lang w:val="en-IN"/>
              </w:rPr>
              <w:t>Performance</w:t>
            </w:r>
          </w:p>
        </w:tc>
        <w:tc>
          <w:tcPr>
            <w:tcW w:w="3464" w:type="dxa"/>
          </w:tcPr>
          <w:p w14:paraId="554BBA6C" w14:textId="77777777" w:rsidR="007C6913" w:rsidRPr="00CB2A3C" w:rsidRDefault="007C6913" w:rsidP="000E1BF7">
            <w:pPr>
              <w:jc w:val="center"/>
              <w:rPr>
                <w:rFonts w:ascii="Times New Roman" w:hAnsi="Times New Roman" w:cs="Times New Roman"/>
                <w:b/>
                <w:bCs/>
                <w:lang w:val="en-IN"/>
              </w:rPr>
            </w:pPr>
            <w:r w:rsidRPr="00CB2A3C">
              <w:rPr>
                <w:rFonts w:ascii="Times New Roman" w:hAnsi="Times New Roman" w:cs="Times New Roman"/>
                <w:b/>
                <w:bCs/>
                <w:lang w:val="en-IN"/>
              </w:rPr>
              <w:t>ANN for δ</w:t>
            </w:r>
            <w:r w:rsidRPr="00CB2A3C">
              <w:rPr>
                <w:rFonts w:ascii="Times New Roman" w:hAnsi="Times New Roman" w:cs="Times New Roman"/>
                <w:b/>
                <w:bCs/>
                <w:vertAlign w:val="superscript"/>
                <w:lang w:val="en-IN"/>
              </w:rPr>
              <w:t>18</w:t>
            </w:r>
            <w:r w:rsidRPr="00CB2A3C">
              <w:rPr>
                <w:rFonts w:ascii="Times New Roman" w:hAnsi="Times New Roman" w:cs="Times New Roman"/>
                <w:b/>
                <w:bCs/>
                <w:lang w:val="en-IN"/>
              </w:rPr>
              <w:t>O</w:t>
            </w:r>
          </w:p>
        </w:tc>
        <w:tc>
          <w:tcPr>
            <w:tcW w:w="3047" w:type="dxa"/>
          </w:tcPr>
          <w:p w14:paraId="553BA99C" w14:textId="77777777" w:rsidR="007C6913" w:rsidRPr="00CB2A3C" w:rsidRDefault="007C6913" w:rsidP="000E1BF7">
            <w:pPr>
              <w:jc w:val="center"/>
              <w:rPr>
                <w:rFonts w:ascii="Times New Roman" w:hAnsi="Times New Roman" w:cs="Times New Roman"/>
                <w:b/>
                <w:bCs/>
                <w:lang w:val="en-IN"/>
              </w:rPr>
            </w:pPr>
            <w:r w:rsidRPr="00CB2A3C">
              <w:rPr>
                <w:rFonts w:ascii="Times New Roman" w:hAnsi="Times New Roman" w:cs="Times New Roman"/>
                <w:b/>
                <w:bCs/>
                <w:lang w:val="en-IN"/>
              </w:rPr>
              <w:t>ANN for δ</w:t>
            </w:r>
            <w:r w:rsidRPr="00CB2A3C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IN"/>
              </w:rPr>
              <w:t>2</w:t>
            </w:r>
            <w:r w:rsidRPr="00CB2A3C">
              <w:rPr>
                <w:rFonts w:ascii="Times New Roman" w:hAnsi="Times New Roman" w:cs="Times New Roman"/>
                <w:sz w:val="22"/>
                <w:szCs w:val="22"/>
                <w:lang w:val="en-IN"/>
              </w:rPr>
              <w:t>H</w:t>
            </w:r>
          </w:p>
        </w:tc>
      </w:tr>
      <w:tr w:rsidR="007C6913" w:rsidRPr="00CB2A3C" w14:paraId="111B9756" w14:textId="77777777" w:rsidTr="00493D1F">
        <w:trPr>
          <w:trHeight w:val="743"/>
        </w:trPr>
        <w:tc>
          <w:tcPr>
            <w:tcW w:w="2342" w:type="dxa"/>
          </w:tcPr>
          <w:p w14:paraId="66A79494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Model layout</w:t>
            </w:r>
          </w:p>
        </w:tc>
        <w:tc>
          <w:tcPr>
            <w:tcW w:w="3464" w:type="dxa"/>
          </w:tcPr>
          <w:p w14:paraId="45FBE262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5-10-10-1</w:t>
            </w:r>
          </w:p>
        </w:tc>
        <w:tc>
          <w:tcPr>
            <w:tcW w:w="3047" w:type="dxa"/>
          </w:tcPr>
          <w:p w14:paraId="6B28A3AA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5-20-18-16-15-1</w:t>
            </w:r>
          </w:p>
        </w:tc>
      </w:tr>
      <w:tr w:rsidR="007C6913" w:rsidRPr="00CB2A3C" w14:paraId="0E4F598B" w14:textId="77777777" w:rsidTr="00493D1F">
        <w:trPr>
          <w:trHeight w:val="866"/>
        </w:trPr>
        <w:tc>
          <w:tcPr>
            <w:tcW w:w="2342" w:type="dxa"/>
          </w:tcPr>
          <w:p w14:paraId="6A898B57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Activation layers</w:t>
            </w:r>
          </w:p>
        </w:tc>
        <w:tc>
          <w:tcPr>
            <w:tcW w:w="3464" w:type="dxa"/>
          </w:tcPr>
          <w:p w14:paraId="39B38549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RELU (Rectified Linear Units) for hidden layers, Linear for final layer</w:t>
            </w:r>
          </w:p>
        </w:tc>
        <w:tc>
          <w:tcPr>
            <w:tcW w:w="3047" w:type="dxa"/>
          </w:tcPr>
          <w:p w14:paraId="370D24F3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RELU (Rectified Linear Units) for hidden layers, Linear for final layer</w:t>
            </w:r>
          </w:p>
        </w:tc>
      </w:tr>
      <w:tr w:rsidR="007C6913" w:rsidRPr="00CB2A3C" w14:paraId="1C3F4D34" w14:textId="77777777" w:rsidTr="00493D1F">
        <w:trPr>
          <w:trHeight w:val="685"/>
        </w:trPr>
        <w:tc>
          <w:tcPr>
            <w:tcW w:w="2342" w:type="dxa"/>
          </w:tcPr>
          <w:p w14:paraId="152AE61E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Batch size</w:t>
            </w:r>
          </w:p>
        </w:tc>
        <w:tc>
          <w:tcPr>
            <w:tcW w:w="3464" w:type="dxa"/>
          </w:tcPr>
          <w:p w14:paraId="29CABE5A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8</w:t>
            </w:r>
          </w:p>
        </w:tc>
        <w:tc>
          <w:tcPr>
            <w:tcW w:w="3047" w:type="dxa"/>
          </w:tcPr>
          <w:p w14:paraId="61F55809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9</w:t>
            </w:r>
          </w:p>
        </w:tc>
      </w:tr>
      <w:tr w:rsidR="007C6913" w:rsidRPr="00CB2A3C" w14:paraId="739D8D73" w14:textId="77777777" w:rsidTr="00493D1F">
        <w:trPr>
          <w:trHeight w:val="790"/>
        </w:trPr>
        <w:tc>
          <w:tcPr>
            <w:tcW w:w="2342" w:type="dxa"/>
          </w:tcPr>
          <w:p w14:paraId="43818800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Number of epochs</w:t>
            </w:r>
          </w:p>
        </w:tc>
        <w:tc>
          <w:tcPr>
            <w:tcW w:w="3464" w:type="dxa"/>
          </w:tcPr>
          <w:p w14:paraId="5B4B461C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120</w:t>
            </w:r>
          </w:p>
        </w:tc>
        <w:tc>
          <w:tcPr>
            <w:tcW w:w="3047" w:type="dxa"/>
          </w:tcPr>
          <w:p w14:paraId="71CD7F67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125</w:t>
            </w:r>
          </w:p>
        </w:tc>
      </w:tr>
      <w:tr w:rsidR="007C6913" w:rsidRPr="00CB2A3C" w14:paraId="20DED937" w14:textId="77777777" w:rsidTr="00493D1F">
        <w:trPr>
          <w:trHeight w:val="608"/>
        </w:trPr>
        <w:tc>
          <w:tcPr>
            <w:tcW w:w="2342" w:type="dxa"/>
          </w:tcPr>
          <w:p w14:paraId="7E485881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RMSE: On training dataset</w:t>
            </w:r>
          </w:p>
        </w:tc>
        <w:tc>
          <w:tcPr>
            <w:tcW w:w="3464" w:type="dxa"/>
          </w:tcPr>
          <w:p w14:paraId="38784413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 xml:space="preserve">1.59 </w:t>
            </w:r>
            <w:r w:rsidRPr="00CB2A3C">
              <w:rPr>
                <w:rFonts w:ascii="Times New Roman" w:hAnsi="Times New Roman" w:cs="Times New Roman"/>
              </w:rPr>
              <w:t>‰</w:t>
            </w:r>
          </w:p>
        </w:tc>
        <w:tc>
          <w:tcPr>
            <w:tcW w:w="3047" w:type="dxa"/>
          </w:tcPr>
          <w:p w14:paraId="78D86670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 xml:space="preserve">8.37 </w:t>
            </w:r>
            <w:r w:rsidRPr="00CB2A3C">
              <w:rPr>
                <w:rFonts w:ascii="Times New Roman" w:hAnsi="Times New Roman" w:cs="Times New Roman"/>
              </w:rPr>
              <w:t>‰</w:t>
            </w:r>
          </w:p>
        </w:tc>
      </w:tr>
      <w:tr w:rsidR="007C6913" w:rsidRPr="00CB2A3C" w14:paraId="214A2FAF" w14:textId="77777777" w:rsidTr="00493D1F">
        <w:trPr>
          <w:trHeight w:val="601"/>
        </w:trPr>
        <w:tc>
          <w:tcPr>
            <w:tcW w:w="2342" w:type="dxa"/>
          </w:tcPr>
          <w:p w14:paraId="203FD6A5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RMSE: On test data set</w:t>
            </w:r>
          </w:p>
        </w:tc>
        <w:tc>
          <w:tcPr>
            <w:tcW w:w="3464" w:type="dxa"/>
          </w:tcPr>
          <w:p w14:paraId="4C1A2C3E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 xml:space="preserve">1.70 </w:t>
            </w:r>
            <w:r w:rsidRPr="00CB2A3C">
              <w:rPr>
                <w:rFonts w:ascii="Times New Roman" w:hAnsi="Times New Roman" w:cs="Times New Roman"/>
              </w:rPr>
              <w:t>‰</w:t>
            </w:r>
          </w:p>
        </w:tc>
        <w:tc>
          <w:tcPr>
            <w:tcW w:w="3047" w:type="dxa"/>
          </w:tcPr>
          <w:p w14:paraId="2320181F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 xml:space="preserve">10.18 </w:t>
            </w:r>
            <w:r w:rsidRPr="00CB2A3C">
              <w:rPr>
                <w:rFonts w:ascii="Times New Roman" w:hAnsi="Times New Roman" w:cs="Times New Roman"/>
              </w:rPr>
              <w:t>‰</w:t>
            </w:r>
          </w:p>
        </w:tc>
      </w:tr>
      <w:tr w:rsidR="007C6913" w:rsidRPr="00CB2A3C" w14:paraId="7A237764" w14:textId="77777777" w:rsidTr="00493D1F">
        <w:trPr>
          <w:trHeight w:val="745"/>
        </w:trPr>
        <w:tc>
          <w:tcPr>
            <w:tcW w:w="2342" w:type="dxa"/>
          </w:tcPr>
          <w:p w14:paraId="36141EEC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Mean error on test data set</w:t>
            </w:r>
          </w:p>
        </w:tc>
        <w:tc>
          <w:tcPr>
            <w:tcW w:w="3464" w:type="dxa"/>
          </w:tcPr>
          <w:p w14:paraId="3CF30F1D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 xml:space="preserve">-0.24 </w:t>
            </w:r>
            <w:r w:rsidRPr="00CB2A3C">
              <w:rPr>
                <w:rFonts w:ascii="Times New Roman" w:hAnsi="Times New Roman" w:cs="Times New Roman"/>
              </w:rPr>
              <w:t>‰</w:t>
            </w:r>
          </w:p>
        </w:tc>
        <w:tc>
          <w:tcPr>
            <w:tcW w:w="3047" w:type="dxa"/>
          </w:tcPr>
          <w:p w14:paraId="53979B09" w14:textId="77777777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 xml:space="preserve">0.53 </w:t>
            </w:r>
            <w:r w:rsidRPr="00CB2A3C">
              <w:rPr>
                <w:rFonts w:ascii="Times New Roman" w:hAnsi="Times New Roman" w:cs="Times New Roman"/>
              </w:rPr>
              <w:t>‰</w:t>
            </w:r>
          </w:p>
        </w:tc>
      </w:tr>
      <w:tr w:rsidR="007C6913" w:rsidRPr="00CB2A3C" w14:paraId="4C98E7D5" w14:textId="77777777" w:rsidTr="00493D1F">
        <w:trPr>
          <w:trHeight w:val="741"/>
        </w:trPr>
        <w:tc>
          <w:tcPr>
            <w:tcW w:w="2342" w:type="dxa"/>
          </w:tcPr>
          <w:p w14:paraId="3DA83056" w14:textId="2905D093" w:rsidR="007C6913" w:rsidRPr="00CB2A3C" w:rsidRDefault="007C6913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 w:rsidRPr="00CB2A3C">
              <w:rPr>
                <w:rFonts w:ascii="Times New Roman" w:hAnsi="Times New Roman" w:cs="Times New Roman"/>
                <w:lang w:val="en-IN"/>
              </w:rPr>
              <w:t>Standard deviation of test error</w:t>
            </w:r>
          </w:p>
        </w:tc>
        <w:tc>
          <w:tcPr>
            <w:tcW w:w="3464" w:type="dxa"/>
          </w:tcPr>
          <w:p w14:paraId="78533A91" w14:textId="68ACA0D7" w:rsidR="007C6913" w:rsidRPr="00CB2A3C" w:rsidRDefault="00E92E9B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  <w:lang w:val="en-IN"/>
              </w:rPr>
              <w:t>1.69</w:t>
            </w:r>
            <w:r w:rsidR="007C6913" w:rsidRPr="00CB2A3C">
              <w:rPr>
                <w:rFonts w:ascii="Times New Roman" w:hAnsi="Times New Roman" w:cs="Times New Roman"/>
                <w:lang w:val="en-IN"/>
              </w:rPr>
              <w:t xml:space="preserve"> </w:t>
            </w:r>
            <w:r w:rsidR="007C6913" w:rsidRPr="00CB2A3C">
              <w:rPr>
                <w:rFonts w:ascii="Times New Roman" w:hAnsi="Times New Roman" w:cs="Times New Roman"/>
              </w:rPr>
              <w:t>‰</w:t>
            </w:r>
          </w:p>
        </w:tc>
        <w:tc>
          <w:tcPr>
            <w:tcW w:w="3047" w:type="dxa"/>
          </w:tcPr>
          <w:p w14:paraId="2BFAB906" w14:textId="2217A37E" w:rsidR="007C6913" w:rsidRPr="00CB2A3C" w:rsidRDefault="00E92E9B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  <w:lang w:val="en-IN"/>
              </w:rPr>
              <w:t>10.19</w:t>
            </w:r>
            <w:r w:rsidR="007C6913" w:rsidRPr="00CB2A3C">
              <w:rPr>
                <w:rFonts w:ascii="Times New Roman" w:hAnsi="Times New Roman" w:cs="Times New Roman"/>
                <w:lang w:val="en-IN"/>
              </w:rPr>
              <w:t xml:space="preserve"> </w:t>
            </w:r>
            <w:r w:rsidR="007C6913" w:rsidRPr="00CB2A3C">
              <w:rPr>
                <w:rFonts w:ascii="Times New Roman" w:hAnsi="Times New Roman" w:cs="Times New Roman"/>
              </w:rPr>
              <w:t>‰</w:t>
            </w:r>
          </w:p>
        </w:tc>
      </w:tr>
      <w:tr w:rsidR="00B712D1" w:rsidRPr="00CB2A3C" w14:paraId="22FE771A" w14:textId="77777777" w:rsidTr="00493D1F">
        <w:trPr>
          <w:trHeight w:val="594"/>
        </w:trPr>
        <w:tc>
          <w:tcPr>
            <w:tcW w:w="2342" w:type="dxa"/>
          </w:tcPr>
          <w:p w14:paraId="7E23D20A" w14:textId="0E767F43" w:rsidR="00B712D1" w:rsidRPr="00CB2A3C" w:rsidRDefault="00B712D1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  <w:lang w:val="en-IN"/>
              </w:rPr>
              <w:t>No of Train/Test Samples</w:t>
            </w:r>
          </w:p>
        </w:tc>
        <w:tc>
          <w:tcPr>
            <w:tcW w:w="3464" w:type="dxa"/>
          </w:tcPr>
          <w:p w14:paraId="3F3DC903" w14:textId="72FCDDBE" w:rsidR="00B712D1" w:rsidRPr="00CB2A3C" w:rsidRDefault="00B712D1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  <w:lang w:val="en-IN"/>
              </w:rPr>
              <w:t>337,144</w:t>
            </w:r>
          </w:p>
        </w:tc>
        <w:tc>
          <w:tcPr>
            <w:tcW w:w="3047" w:type="dxa"/>
          </w:tcPr>
          <w:p w14:paraId="405549D6" w14:textId="69D3A8E6" w:rsidR="00B712D1" w:rsidRPr="00CB2A3C" w:rsidRDefault="00B712D1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  <w:lang w:val="en-IN"/>
              </w:rPr>
              <w:t>337,144</w:t>
            </w:r>
          </w:p>
        </w:tc>
      </w:tr>
      <w:tr w:rsidR="00B712D1" w:rsidRPr="00CB2A3C" w14:paraId="618445AB" w14:textId="77777777" w:rsidTr="00AA201F">
        <w:trPr>
          <w:trHeight w:val="70"/>
        </w:trPr>
        <w:tc>
          <w:tcPr>
            <w:tcW w:w="8853" w:type="dxa"/>
            <w:gridSpan w:val="3"/>
          </w:tcPr>
          <w:p w14:paraId="6376D989" w14:textId="3EB6A701" w:rsidR="00B712D1" w:rsidRPr="00CB2A3C" w:rsidRDefault="00B712D1" w:rsidP="000E1BF7">
            <w:pPr>
              <w:jc w:val="both"/>
              <w:rPr>
                <w:rFonts w:ascii="Times New Roman" w:hAnsi="Times New Roman" w:cs="Times New Roman"/>
                <w:lang w:val="en-IN"/>
              </w:rPr>
            </w:pPr>
          </w:p>
        </w:tc>
      </w:tr>
    </w:tbl>
    <w:p w14:paraId="1BEC24D4" w14:textId="0F0B2080" w:rsidR="007C6913" w:rsidRDefault="007C6913" w:rsidP="007C6913"/>
    <w:p w14:paraId="38EA9A1A" w14:textId="77777777" w:rsidR="00493D1F" w:rsidRPr="007C6913" w:rsidRDefault="00493D1F" w:rsidP="007C6913"/>
    <w:p w14:paraId="3D231D70" w14:textId="77777777" w:rsidR="007C6913" w:rsidRDefault="007C6913" w:rsidP="007C6913">
      <w:pPr>
        <w:pStyle w:val="Beschriftung"/>
        <w:keepNext/>
        <w:spacing w:line="480" w:lineRule="auto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CB2A3C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Table </w:t>
      </w:r>
      <w:r w:rsidRPr="00CB2A3C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CB2A3C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CB2A3C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Pr="00CB2A3C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</w:t>
      </w:r>
      <w:r w:rsidRPr="00CB2A3C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CB2A3C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ANN model architecture and performance in predicting </w:t>
      </w:r>
      <w:proofErr w:type="spellStart"/>
      <w:r w:rsidRPr="00CB2A3C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vapour</w:t>
      </w:r>
      <w:proofErr w:type="spellEnd"/>
      <w:r w:rsidRPr="00CB2A3C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isotopic compositio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n</w:t>
      </w:r>
    </w:p>
    <w:p w14:paraId="68FA6216" w14:textId="743B72A7" w:rsidR="007C6913" w:rsidRDefault="007C6913" w:rsidP="0021310B">
      <w:pPr>
        <w:spacing w:before="120" w:after="120"/>
        <w:ind w:firstLine="720"/>
        <w:jc w:val="both"/>
        <w:rPr>
          <w:rFonts w:ascii="Times New Roman" w:hAnsi="Times New Roman" w:cs="Times New Roman"/>
          <w:sz w:val="22"/>
          <w:szCs w:val="22"/>
          <w:lang w:val="en-IN"/>
        </w:rPr>
      </w:pPr>
      <w:r w:rsidRPr="00CB2A3C">
        <w:rPr>
          <w:rFonts w:ascii="Times New Roman" w:hAnsi="Times New Roman" w:cs="Times New Roman"/>
          <w:sz w:val="22"/>
          <w:szCs w:val="22"/>
          <w:lang w:val="en-IN"/>
        </w:rPr>
        <w:t>The input layer dimensions (5 nodes) represents the number of feature vectors used for training while the final layer in case of a regression problem always has just 1 layer with a linear activation function. Since the non-linearity demonstrated for the oxygen isotope (</w:t>
      </w:r>
      <w:r w:rsidRPr="007C3A8B">
        <w:rPr>
          <w:rFonts w:ascii="Times New Roman" w:hAnsi="Times New Roman" w:cs="Times New Roman"/>
          <w:sz w:val="22"/>
          <w:szCs w:val="22"/>
          <w:lang w:val="en-IN"/>
        </w:rPr>
        <w:t>18</w:t>
      </w:r>
      <w:r w:rsidRPr="00CB2A3C">
        <w:rPr>
          <w:rFonts w:ascii="Times New Roman" w:hAnsi="Times New Roman" w:cs="Times New Roman"/>
          <w:sz w:val="22"/>
          <w:szCs w:val="22"/>
          <w:lang w:val="en-IN"/>
        </w:rPr>
        <w:t>O) with respect to variation in diffusivity and other experimental limitations or constraints was less, a shallower neural network was chosen</w:t>
      </w:r>
      <w:r w:rsidR="0021310B">
        <w:rPr>
          <w:rFonts w:ascii="Times New Roman" w:hAnsi="Times New Roman" w:cs="Times New Roman"/>
          <w:sz w:val="22"/>
          <w:szCs w:val="22"/>
          <w:lang w:val="en-IN"/>
        </w:rPr>
        <w:t xml:space="preserve"> with 2 hidden layers having 10 nodes each</w:t>
      </w:r>
      <w:r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and additional regularization was not deemed necessary. For the case of hydrogen isotopes, due to the intrinsic non-linearity in the problem statement owing to large range in </w:t>
      </w:r>
      <w:r w:rsidR="007C3A8B" w:rsidRPr="007C3A8B">
        <w:rPr>
          <w:rFonts w:ascii="Times New Roman" w:hAnsi="Times New Roman" w:cs="Times New Roman"/>
          <w:sz w:val="22"/>
          <w:szCs w:val="22"/>
          <w:lang w:val="en-IN"/>
        </w:rPr>
        <w:t>Sic, a</w:t>
      </w:r>
      <w:r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denser more complex network gave the best performance</w:t>
      </w:r>
      <w:r w:rsidR="0021310B">
        <w:rPr>
          <w:rFonts w:ascii="Times New Roman" w:hAnsi="Times New Roman" w:cs="Times New Roman"/>
          <w:sz w:val="22"/>
          <w:szCs w:val="22"/>
          <w:lang w:val="en-IN"/>
        </w:rPr>
        <w:t xml:space="preserve"> with 4 hidden layers having 20-18-16-15 nodes respectively</w:t>
      </w:r>
      <w:r>
        <w:rPr>
          <w:rFonts w:ascii="Times New Roman" w:hAnsi="Times New Roman" w:cs="Times New Roman"/>
          <w:sz w:val="22"/>
          <w:szCs w:val="22"/>
          <w:lang w:val="en-IN"/>
        </w:rPr>
        <w:t>.</w:t>
      </w:r>
    </w:p>
    <w:p w14:paraId="6C851858" w14:textId="39E4601F" w:rsidR="0021310B" w:rsidRDefault="0021310B" w:rsidP="0021310B">
      <w:pPr>
        <w:spacing w:before="120" w:after="120"/>
        <w:ind w:firstLine="720"/>
        <w:jc w:val="both"/>
        <w:rPr>
          <w:rFonts w:ascii="Times New Roman" w:hAnsi="Times New Roman" w:cs="Times New Roman"/>
          <w:sz w:val="22"/>
          <w:szCs w:val="22"/>
          <w:lang w:val="en-IN"/>
        </w:rPr>
      </w:pPr>
      <w:r>
        <w:rPr>
          <w:rFonts w:ascii="Times New Roman" w:hAnsi="Times New Roman" w:cs="Times New Roman"/>
          <w:sz w:val="22"/>
          <w:szCs w:val="22"/>
          <w:lang w:val="en-IN"/>
        </w:rPr>
        <w:t>We chose Rectified Linear units</w:t>
      </w:r>
      <w:r w:rsidR="007C3A8B"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IN"/>
        </w:rPr>
        <w:t>(RELU)</w:t>
      </w:r>
      <w:r w:rsidR="007C3A8B">
        <w:rPr>
          <w:rFonts w:ascii="Times New Roman" w:hAnsi="Times New Roman" w:cs="Times New Roman"/>
          <w:sz w:val="22"/>
          <w:szCs w:val="22"/>
          <w:lang w:val="en-IN"/>
        </w:rPr>
        <w:t xml:space="preserve"> as activation function after experimenting with RELU, sigmoid and </w:t>
      </w:r>
      <w:proofErr w:type="spellStart"/>
      <w:r w:rsidR="007C3A8B">
        <w:rPr>
          <w:rFonts w:ascii="Times New Roman" w:hAnsi="Times New Roman" w:cs="Times New Roman"/>
          <w:sz w:val="22"/>
          <w:szCs w:val="22"/>
          <w:lang w:val="en-IN"/>
        </w:rPr>
        <w:t>tanh</w:t>
      </w:r>
      <w:proofErr w:type="spellEnd"/>
      <w:r w:rsidR="007C3A8B">
        <w:rPr>
          <w:rFonts w:ascii="Times New Roman" w:hAnsi="Times New Roman" w:cs="Times New Roman"/>
          <w:sz w:val="22"/>
          <w:szCs w:val="22"/>
          <w:lang w:val="en-IN"/>
        </w:rPr>
        <w:t xml:space="preserve"> as possible choices. Since this is a relatively small dataset (~500 </w:t>
      </w:r>
      <w:proofErr w:type="spellStart"/>
      <w:r w:rsidR="007C3A8B">
        <w:rPr>
          <w:rFonts w:ascii="Times New Roman" w:hAnsi="Times New Roman" w:cs="Times New Roman"/>
          <w:sz w:val="22"/>
          <w:szCs w:val="22"/>
          <w:lang w:val="en-IN"/>
        </w:rPr>
        <w:t>datapoints</w:t>
      </w:r>
      <w:proofErr w:type="spellEnd"/>
      <w:r w:rsidR="007C3A8B">
        <w:rPr>
          <w:rFonts w:ascii="Times New Roman" w:hAnsi="Times New Roman" w:cs="Times New Roman"/>
          <w:sz w:val="22"/>
          <w:szCs w:val="22"/>
          <w:lang w:val="en-IN"/>
        </w:rPr>
        <w:t>), we chose a relatively small batch size to update the hyper-parameters. Convergence was achieved for both models at around total ~120-125 iterations/ epochs after which there was not much improvement</w:t>
      </w:r>
      <w:r w:rsidR="007E4623">
        <w:rPr>
          <w:rFonts w:ascii="Times New Roman" w:hAnsi="Times New Roman" w:cs="Times New Roman"/>
          <w:sz w:val="22"/>
          <w:szCs w:val="22"/>
          <w:lang w:val="en-IN"/>
        </w:rPr>
        <w:t xml:space="preserve">. </w:t>
      </w:r>
      <w:r w:rsidR="006E770D" w:rsidRPr="00CB2A3C">
        <w:rPr>
          <w:rFonts w:ascii="Times New Roman" w:hAnsi="Times New Roman" w:cs="Times New Roman"/>
          <w:sz w:val="22"/>
          <w:szCs w:val="22"/>
          <w:lang w:val="en-IN"/>
        </w:rPr>
        <w:t>Root mean squared error as well as mean absolute error were used as metrics for model validation whereas mean squared error was chosen as the loss function</w:t>
      </w:r>
      <w:r w:rsidR="006E770D">
        <w:rPr>
          <w:rFonts w:ascii="Times New Roman" w:hAnsi="Times New Roman" w:cs="Times New Roman"/>
          <w:sz w:val="22"/>
          <w:szCs w:val="22"/>
          <w:lang w:val="en-IN"/>
        </w:rPr>
        <w:t xml:space="preserve">. </w:t>
      </w:r>
    </w:p>
    <w:p w14:paraId="46354445" w14:textId="2B6B14BF" w:rsidR="0023184D" w:rsidRDefault="002B1251" w:rsidP="0023184D">
      <w:pPr>
        <w:spacing w:before="120" w:after="120"/>
        <w:ind w:firstLine="720"/>
        <w:jc w:val="both"/>
        <w:rPr>
          <w:rFonts w:ascii="Times New Roman" w:hAnsi="Times New Roman" w:cs="Times New Roman"/>
          <w:sz w:val="22"/>
          <w:szCs w:val="22"/>
          <w:lang w:val="en-IN"/>
        </w:rPr>
      </w:pPr>
      <w:r>
        <w:rPr>
          <w:rFonts w:ascii="Times New Roman" w:hAnsi="Times New Roman" w:cs="Times New Roman"/>
          <w:sz w:val="22"/>
          <w:szCs w:val="22"/>
          <w:lang w:val="en-IN"/>
        </w:rPr>
        <w:t xml:space="preserve">We employed Dropout (0.1), i.e. 10% of interlinkages/synapses between nodes were dropped for </w:t>
      </w:r>
      <w:r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2</w:t>
      </w:r>
      <w:r>
        <w:rPr>
          <w:rFonts w:ascii="Times New Roman" w:hAnsi="Times New Roman" w:cs="Times New Roman"/>
          <w:sz w:val="22"/>
          <w:szCs w:val="22"/>
          <w:lang w:val="en-IN"/>
        </w:rPr>
        <w:t xml:space="preserve">H in order to prevent overfitting whereas no regularisation was required for </w:t>
      </w:r>
      <w:r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18</w:t>
      </w:r>
      <w:r>
        <w:rPr>
          <w:rFonts w:ascii="Times New Roman" w:hAnsi="Times New Roman" w:cs="Times New Roman"/>
          <w:sz w:val="22"/>
          <w:szCs w:val="22"/>
          <w:lang w:val="en-IN"/>
        </w:rPr>
        <w:t xml:space="preserve">O. </w:t>
      </w:r>
      <w:r w:rsidR="0023184D">
        <w:rPr>
          <w:rFonts w:ascii="Times New Roman" w:hAnsi="Times New Roman" w:cs="Times New Roman"/>
          <w:sz w:val="22"/>
          <w:szCs w:val="22"/>
          <w:lang w:val="en-IN"/>
        </w:rPr>
        <w:t>Further we used 5 fold cross validation in our training to ensure generalisation and robustness on an unknown dataset.</w:t>
      </w:r>
      <w:r w:rsidR="00493D1F" w:rsidRPr="00493D1F"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w:r w:rsidR="0023184D" w:rsidRPr="00CB2A3C">
        <w:rPr>
          <w:rFonts w:ascii="Times New Roman" w:hAnsi="Times New Roman" w:cs="Times New Roman"/>
          <w:sz w:val="22"/>
          <w:szCs w:val="22"/>
          <w:lang w:val="en-IN"/>
        </w:rPr>
        <w:t>The whole dataset was split randomly into 70-30 % with 70 % data for training the model and 30 % for model testing and validation</w:t>
      </w:r>
      <w:r w:rsidR="0023184D">
        <w:rPr>
          <w:rFonts w:ascii="Times New Roman" w:hAnsi="Times New Roman" w:cs="Times New Roman"/>
          <w:sz w:val="22"/>
          <w:szCs w:val="22"/>
          <w:lang w:val="en-IN"/>
        </w:rPr>
        <w:t xml:space="preserve">. </w:t>
      </w:r>
      <w:proofErr w:type="spellStart"/>
      <w:r w:rsidR="0023184D" w:rsidRPr="00CB2A3C">
        <w:rPr>
          <w:rFonts w:ascii="Times New Roman" w:hAnsi="Times New Roman" w:cs="Times New Roman"/>
          <w:sz w:val="22"/>
          <w:szCs w:val="22"/>
          <w:lang w:val="en-IN"/>
        </w:rPr>
        <w:t>GridSearchCV</w:t>
      </w:r>
      <w:proofErr w:type="spellEnd"/>
      <w:r w:rsidR="0023184D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was employed for </w:t>
      </w:r>
      <w:proofErr w:type="spellStart"/>
      <w:r w:rsidR="0023184D" w:rsidRPr="00CB2A3C">
        <w:rPr>
          <w:rFonts w:ascii="Times New Roman" w:hAnsi="Times New Roman" w:cs="Times New Roman"/>
          <w:sz w:val="22"/>
          <w:szCs w:val="22"/>
          <w:lang w:val="en-IN"/>
        </w:rPr>
        <w:t>hyperparameter</w:t>
      </w:r>
      <w:proofErr w:type="spellEnd"/>
      <w:r w:rsidR="0023184D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tuning by running maximum permutations and combinations of different model architecture with different number of hidden layers and varying activation functions</w:t>
      </w:r>
      <w:r w:rsidR="0023184D">
        <w:rPr>
          <w:rFonts w:ascii="Times New Roman" w:hAnsi="Times New Roman" w:cs="Times New Roman"/>
          <w:sz w:val="22"/>
          <w:szCs w:val="22"/>
          <w:lang w:val="en-IN"/>
        </w:rPr>
        <w:t>.</w:t>
      </w:r>
      <w:r w:rsidR="00493D1F"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</w:p>
    <w:p w14:paraId="27D26BD5" w14:textId="76D88728" w:rsidR="007C3A8B" w:rsidRDefault="0023184D" w:rsidP="0023184D">
      <w:pPr>
        <w:spacing w:before="120" w:after="120"/>
        <w:ind w:firstLine="720"/>
        <w:jc w:val="both"/>
        <w:rPr>
          <w:rFonts w:ascii="Times New Roman" w:hAnsi="Times New Roman" w:cs="Times New Roman"/>
          <w:sz w:val="22"/>
          <w:szCs w:val="22"/>
          <w:lang w:val="en-IN"/>
        </w:rPr>
      </w:pPr>
      <w:r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w:r w:rsidR="00493D1F">
        <w:rPr>
          <w:rFonts w:ascii="Times New Roman" w:hAnsi="Times New Roman" w:cs="Times New Roman"/>
          <w:sz w:val="22"/>
          <w:szCs w:val="22"/>
          <w:lang w:val="en-IN"/>
        </w:rPr>
        <w:t>T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he relatively comparable values of both RMSE (root mean squared error) and mean of absolute error for both models hint at a robust fit without overfitting. The RMSE for δ</w:t>
      </w:r>
      <w:r w:rsidR="00493D1F" w:rsidRPr="00CB2A3C"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18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O is almost an order of magnitude lower than that for δ</w:t>
      </w:r>
      <w:r w:rsidR="00493D1F" w:rsidRPr="00CB2A3C"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2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H, but we must realise RMSE is not robust to outliers and is also dependent on the range of the target variable. For δ</w:t>
      </w:r>
      <w:r w:rsidR="00493D1F" w:rsidRPr="00CB2A3C"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18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O, we have a range of 19.16 </w:t>
      </w:r>
      <w:r w:rsidR="00493D1F" w:rsidRPr="00CB2A3C">
        <w:rPr>
          <w:rFonts w:ascii="Times New Roman" w:hAnsi="Times New Roman" w:cs="Times New Roman"/>
          <w:sz w:val="22"/>
          <w:szCs w:val="22"/>
        </w:rPr>
        <w:t>‰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for vapour, for which RMSE around 1.</w:t>
      </w:r>
      <w:r w:rsidR="00B712D1">
        <w:rPr>
          <w:rFonts w:ascii="Times New Roman" w:hAnsi="Times New Roman" w:cs="Times New Roman"/>
          <w:sz w:val="22"/>
          <w:szCs w:val="22"/>
          <w:lang w:val="en-IN"/>
        </w:rPr>
        <w:t>7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w:r w:rsidR="00493D1F" w:rsidRPr="00CB2A3C">
        <w:rPr>
          <w:rFonts w:ascii="Times New Roman" w:hAnsi="Times New Roman" w:cs="Times New Roman"/>
          <w:sz w:val="22"/>
          <w:szCs w:val="22"/>
        </w:rPr>
        <w:t xml:space="preserve">‰ 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is quite reliable. For δ</w:t>
      </w:r>
      <w:r w:rsidR="00493D1F" w:rsidRPr="00CB2A3C"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2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H, we have a range in vapour of 147.73 </w:t>
      </w:r>
      <w:r w:rsidR="00493D1F" w:rsidRPr="00CB2A3C">
        <w:rPr>
          <w:rFonts w:ascii="Times New Roman" w:hAnsi="Times New Roman" w:cs="Times New Roman"/>
          <w:sz w:val="22"/>
          <w:szCs w:val="22"/>
        </w:rPr>
        <w:t>‰, for which an RMSE score of ≈ 10 ‰ is still quite reasonable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. The tendency of mean error to lie near 0 </w:t>
      </w:r>
      <w:r w:rsidR="00493D1F">
        <w:rPr>
          <w:rFonts w:ascii="Times New Roman" w:hAnsi="Times New Roman" w:cs="Times New Roman"/>
          <w:sz w:val="22"/>
          <w:szCs w:val="22"/>
          <w:lang w:val="en-IN"/>
        </w:rPr>
        <w:t xml:space="preserve">further 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indicates the absence of a strong negative or positive bias in either case.</w:t>
      </w:r>
      <w:r w:rsidR="00493D1F" w:rsidRPr="00493D1F"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Hence given a liquid sample, Rh and T, we can arrive at vapour isotope value within -0.24±</w:t>
      </w:r>
      <w:r w:rsidR="00F147C5">
        <w:rPr>
          <w:rFonts w:ascii="Times New Roman" w:hAnsi="Times New Roman" w:cs="Times New Roman"/>
          <w:sz w:val="22"/>
          <w:szCs w:val="22"/>
          <w:lang w:val="en-IN"/>
        </w:rPr>
        <w:t>1.69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w:r w:rsidR="00493D1F" w:rsidRPr="00CB2A3C">
        <w:rPr>
          <w:rFonts w:ascii="Times New Roman" w:hAnsi="Times New Roman" w:cs="Times New Roman"/>
          <w:sz w:val="22"/>
          <w:szCs w:val="22"/>
        </w:rPr>
        <w:t xml:space="preserve">‰ for 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δ</w:t>
      </w:r>
      <w:r w:rsidR="00493D1F" w:rsidRPr="00CB2A3C"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18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O and 0.53±</w:t>
      </w:r>
      <w:r w:rsidR="00F147C5">
        <w:rPr>
          <w:rFonts w:ascii="Times New Roman" w:hAnsi="Times New Roman" w:cs="Times New Roman"/>
          <w:sz w:val="22"/>
          <w:szCs w:val="22"/>
          <w:lang w:val="en-IN"/>
        </w:rPr>
        <w:t>10.19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w:r w:rsidR="00493D1F" w:rsidRPr="00CB2A3C">
        <w:rPr>
          <w:rFonts w:ascii="Times New Roman" w:hAnsi="Times New Roman" w:cs="Times New Roman"/>
          <w:sz w:val="22"/>
          <w:szCs w:val="22"/>
        </w:rPr>
        <w:t xml:space="preserve">‰ for 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δ</w:t>
      </w:r>
      <w:r w:rsidR="00493D1F" w:rsidRPr="00CB2A3C"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2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H with 1 standard deviation.</w:t>
      </w:r>
    </w:p>
    <w:p w14:paraId="565F6B1F" w14:textId="77777777" w:rsidR="004D6732" w:rsidRDefault="00493D1F" w:rsidP="0023184D">
      <w:pPr>
        <w:spacing w:before="120" w:after="120"/>
        <w:ind w:firstLine="720"/>
        <w:jc w:val="both"/>
        <w:rPr>
          <w:rFonts w:ascii="Times New Roman" w:hAnsi="Times New Roman" w:cs="Times New Roman"/>
          <w:sz w:val="22"/>
          <w:szCs w:val="22"/>
          <w:lang w:val="en-IN"/>
        </w:rPr>
      </w:pPr>
      <w:r>
        <w:rPr>
          <w:rFonts w:ascii="Times New Roman" w:hAnsi="Times New Roman" w:cs="Times New Roman"/>
          <w:sz w:val="22"/>
          <w:szCs w:val="22"/>
          <w:lang w:val="en-IN"/>
        </w:rPr>
        <w:t>However, it must be noted that this uncertainty mentioned is only that of the ANN model and does not include the analytical uncertainty arising out of IRMS measurements. Hence</w:t>
      </w:r>
      <w:r w:rsidR="004D6732">
        <w:rPr>
          <w:rFonts w:ascii="Times New Roman" w:hAnsi="Times New Roman" w:cs="Times New Roman"/>
          <w:sz w:val="22"/>
          <w:szCs w:val="22"/>
          <w:lang w:val="en-IN"/>
        </w:rPr>
        <w:t>, we need to account</w:t>
      </w:r>
      <w:r>
        <w:rPr>
          <w:rFonts w:ascii="Times New Roman" w:hAnsi="Times New Roman" w:cs="Times New Roman"/>
          <w:sz w:val="22"/>
          <w:szCs w:val="22"/>
          <w:lang w:val="en-IN"/>
        </w:rPr>
        <w:t xml:space="preserve"> for the analytical uncertainty</w:t>
      </w:r>
      <w:r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IN"/>
        </w:rPr>
        <w:t xml:space="preserve">of </w:t>
      </w:r>
      <w:r w:rsidRPr="00CB2A3C">
        <w:rPr>
          <w:rFonts w:ascii="Times New Roman" w:hAnsi="Times New Roman" w:cs="Times New Roman"/>
          <w:sz w:val="22"/>
          <w:szCs w:val="22"/>
        </w:rPr>
        <w:t>0.1 ‰ for δ</w:t>
      </w:r>
      <w:r w:rsidRPr="00CB2A3C">
        <w:rPr>
          <w:rFonts w:ascii="Times New Roman" w:hAnsi="Times New Roman" w:cs="Times New Roman"/>
          <w:sz w:val="22"/>
          <w:szCs w:val="22"/>
          <w:vertAlign w:val="superscript"/>
        </w:rPr>
        <w:t>18</w:t>
      </w:r>
      <w:r w:rsidRPr="00CB2A3C">
        <w:rPr>
          <w:rFonts w:ascii="Times New Roman" w:hAnsi="Times New Roman" w:cs="Times New Roman"/>
          <w:sz w:val="22"/>
          <w:szCs w:val="22"/>
        </w:rPr>
        <w:t>O and 1 ‰ for δ</w:t>
      </w:r>
      <w:r w:rsidRPr="00CB2A3C"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2</w:t>
      </w:r>
      <w:r w:rsidRPr="00CB2A3C">
        <w:rPr>
          <w:rFonts w:ascii="Times New Roman" w:hAnsi="Times New Roman" w:cs="Times New Roman"/>
          <w:sz w:val="22"/>
          <w:szCs w:val="22"/>
          <w:lang w:val="en-IN"/>
        </w:rPr>
        <w:t>H</w:t>
      </w:r>
      <w:r>
        <w:rPr>
          <w:rFonts w:ascii="Times New Roman" w:hAnsi="Times New Roman" w:cs="Times New Roman"/>
          <w:sz w:val="22"/>
          <w:szCs w:val="22"/>
          <w:lang w:val="en-IN"/>
        </w:rPr>
        <w:t xml:space="preserve"> coming from IRMS</w:t>
      </w:r>
      <w:r w:rsidR="004D6732">
        <w:rPr>
          <w:rFonts w:ascii="Times New Roman" w:hAnsi="Times New Roman" w:cs="Times New Roman"/>
          <w:sz w:val="22"/>
          <w:szCs w:val="22"/>
          <w:lang w:val="en-IN"/>
        </w:rPr>
        <w:t>. It is reasonable to assume the sources of both uncertainties are mutually exclusive, thus we can arrive at combined uncertainty for each tracer as</w:t>
      </w:r>
    </w:p>
    <w:p w14:paraId="23AB208A" w14:textId="77777777" w:rsidR="004D6732" w:rsidRDefault="004D6732" w:rsidP="0023184D">
      <w:pPr>
        <w:spacing w:before="120" w:after="120"/>
        <w:ind w:firstLine="720"/>
        <w:jc w:val="both"/>
        <w:rPr>
          <w:rFonts w:ascii="Times New Roman" w:hAnsi="Times New Roman" w:cs="Times New Roman"/>
          <w:sz w:val="22"/>
          <w:szCs w:val="22"/>
          <w:lang w:val="en-IN"/>
        </w:rPr>
      </w:pPr>
      <w:r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Net_uncertainty 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</w:rPr>
                  <m:t>(Model_uncer)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</w:rPr>
                  <m:t>(Analytical_uncert)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Cs w:val="28"/>
          </w:rPr>
          <m:t>)</m:t>
        </m:r>
      </m:oMath>
      <w:r>
        <w:rPr>
          <w:rFonts w:ascii="Times New Roman" w:hAnsi="Times New Roman" w:cs="Times New Roman"/>
          <w:sz w:val="22"/>
          <w:szCs w:val="22"/>
          <w:lang w:val="en-IN"/>
        </w:rPr>
        <w:t xml:space="preserve">. </w:t>
      </w:r>
    </w:p>
    <w:p w14:paraId="1E1ABE1D" w14:textId="54861A48" w:rsidR="00493D1F" w:rsidRDefault="004D6732" w:rsidP="0023184D">
      <w:pPr>
        <w:spacing w:before="120"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val="en-IN"/>
        </w:rPr>
        <w:t>W</w:t>
      </w:r>
      <w:r w:rsidR="00493D1F">
        <w:rPr>
          <w:rFonts w:ascii="Times New Roman" w:hAnsi="Times New Roman" w:cs="Times New Roman"/>
          <w:sz w:val="22"/>
          <w:szCs w:val="22"/>
          <w:lang w:val="en-IN"/>
        </w:rPr>
        <w:t xml:space="preserve">e can arrive at vapour isotope value within </w:t>
      </w:r>
      <w:bookmarkStart w:id="2" w:name="_Hlk111143057"/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-0.24±</w:t>
      </w:r>
      <w:r w:rsidR="00493D1F">
        <w:rPr>
          <w:rFonts w:ascii="Times New Roman" w:hAnsi="Times New Roman" w:cs="Times New Roman"/>
          <w:sz w:val="22"/>
          <w:szCs w:val="22"/>
          <w:lang w:val="en-IN"/>
        </w:rPr>
        <w:t>1.</w:t>
      </w:r>
      <w:r w:rsidR="005B3EA3">
        <w:rPr>
          <w:rFonts w:ascii="Times New Roman" w:hAnsi="Times New Roman" w:cs="Times New Roman"/>
          <w:sz w:val="22"/>
          <w:szCs w:val="22"/>
          <w:lang w:val="en-IN"/>
        </w:rPr>
        <w:t>79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w:r w:rsidR="00493D1F" w:rsidRPr="00CB2A3C">
        <w:rPr>
          <w:rFonts w:ascii="Times New Roman" w:hAnsi="Times New Roman" w:cs="Times New Roman"/>
          <w:sz w:val="22"/>
          <w:szCs w:val="22"/>
        </w:rPr>
        <w:t xml:space="preserve">‰ for 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δ</w:t>
      </w:r>
      <w:r w:rsidR="00493D1F" w:rsidRPr="00CB2A3C"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18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O and 0.53±</w:t>
      </w:r>
      <w:r w:rsidR="00F147C5">
        <w:rPr>
          <w:rFonts w:ascii="Times New Roman" w:hAnsi="Times New Roman" w:cs="Times New Roman"/>
          <w:sz w:val="22"/>
          <w:szCs w:val="22"/>
          <w:lang w:val="en-IN"/>
        </w:rPr>
        <w:t>11.</w:t>
      </w:r>
      <w:r>
        <w:rPr>
          <w:rFonts w:ascii="Times New Roman" w:hAnsi="Times New Roman" w:cs="Times New Roman"/>
          <w:sz w:val="22"/>
          <w:szCs w:val="22"/>
          <w:lang w:val="en-IN"/>
        </w:rPr>
        <w:t>23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 xml:space="preserve"> </w:t>
      </w:r>
      <w:bookmarkEnd w:id="2"/>
      <w:r w:rsidR="00493D1F" w:rsidRPr="00CB2A3C">
        <w:rPr>
          <w:rFonts w:ascii="Times New Roman" w:hAnsi="Times New Roman" w:cs="Times New Roman"/>
          <w:sz w:val="22"/>
          <w:szCs w:val="22"/>
        </w:rPr>
        <w:t xml:space="preserve">‰ for 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δ</w:t>
      </w:r>
      <w:r w:rsidR="00493D1F" w:rsidRPr="00CB2A3C">
        <w:rPr>
          <w:rFonts w:ascii="Times New Roman" w:hAnsi="Times New Roman" w:cs="Times New Roman"/>
          <w:sz w:val="22"/>
          <w:szCs w:val="22"/>
          <w:vertAlign w:val="superscript"/>
          <w:lang w:val="en-IN"/>
        </w:rPr>
        <w:t>2</w:t>
      </w:r>
      <w:r w:rsidR="00493D1F" w:rsidRPr="00CB2A3C">
        <w:rPr>
          <w:rFonts w:ascii="Times New Roman" w:hAnsi="Times New Roman" w:cs="Times New Roman"/>
          <w:sz w:val="22"/>
          <w:szCs w:val="22"/>
          <w:lang w:val="en-IN"/>
        </w:rPr>
        <w:t>H</w:t>
      </w:r>
      <w:r w:rsidR="006E770D">
        <w:rPr>
          <w:rFonts w:ascii="Times New Roman" w:hAnsi="Times New Roman" w:cs="Times New Roman"/>
          <w:sz w:val="22"/>
          <w:szCs w:val="22"/>
          <w:lang w:val="en-IN"/>
        </w:rPr>
        <w:t>, which provides a viable novel alternative way of sampling vapour isotopes over a large network simultaneously, especially in remote areas having logistical limitations.</w:t>
      </w:r>
    </w:p>
    <w:p w14:paraId="7069B882" w14:textId="7BFCA3F4" w:rsidR="00493D1F" w:rsidRDefault="00493D1F" w:rsidP="0023184D">
      <w:pPr>
        <w:spacing w:before="120" w:after="120"/>
        <w:ind w:firstLine="720"/>
        <w:jc w:val="both"/>
        <w:rPr>
          <w:rFonts w:ascii="Times New Roman" w:hAnsi="Times New Roman" w:cs="Times New Roman"/>
          <w:sz w:val="22"/>
          <w:szCs w:val="22"/>
          <w:lang w:val="en-IN"/>
        </w:rPr>
      </w:pPr>
    </w:p>
    <w:p w14:paraId="262ACDD7" w14:textId="6D163A7D" w:rsidR="007E4623" w:rsidRPr="002B1251" w:rsidRDefault="007E4623" w:rsidP="0023184D">
      <w:pPr>
        <w:spacing w:before="120" w:after="120"/>
        <w:ind w:firstLine="720"/>
        <w:jc w:val="both"/>
        <w:rPr>
          <w:rFonts w:ascii="Times New Roman" w:hAnsi="Times New Roman" w:cs="Times New Roman"/>
          <w:sz w:val="22"/>
          <w:szCs w:val="22"/>
          <w:lang w:val="en-IN"/>
        </w:rPr>
      </w:pPr>
    </w:p>
    <w:p w14:paraId="290721C0" w14:textId="77777777" w:rsidR="007C6913" w:rsidRDefault="007C6913"/>
    <w:sectPr w:rsidR="007C69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DB6B05" w14:textId="77777777" w:rsidR="00C212DB" w:rsidRDefault="00C212DB" w:rsidP="007F6163">
      <w:pPr>
        <w:spacing w:after="0" w:line="240" w:lineRule="auto"/>
      </w:pPr>
      <w:r>
        <w:separator/>
      </w:r>
    </w:p>
  </w:endnote>
  <w:endnote w:type="continuationSeparator" w:id="0">
    <w:p w14:paraId="6945FD5A" w14:textId="77777777" w:rsidR="00C212DB" w:rsidRDefault="00C212DB" w:rsidP="007F6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8D3F5" w14:textId="77777777" w:rsidR="00C212DB" w:rsidRDefault="00C212DB" w:rsidP="007F6163">
      <w:pPr>
        <w:spacing w:after="0" w:line="240" w:lineRule="auto"/>
      </w:pPr>
      <w:r>
        <w:separator/>
      </w:r>
    </w:p>
  </w:footnote>
  <w:footnote w:type="continuationSeparator" w:id="0">
    <w:p w14:paraId="09E68324" w14:textId="77777777" w:rsidR="00C212DB" w:rsidRDefault="00C212DB" w:rsidP="007F6163">
      <w:pPr>
        <w:spacing w:after="0" w:line="240" w:lineRule="auto"/>
      </w:pPr>
      <w:r>
        <w:continuationSeparator/>
      </w:r>
    </w:p>
  </w:footnote>
  <w:footnote w:id="1">
    <w:p w14:paraId="6BF51D77" w14:textId="77777777" w:rsidR="00471971" w:rsidRDefault="00471971" w:rsidP="00471971">
      <w:pPr>
        <w:pStyle w:val="Funotentext"/>
        <w:rPr>
          <w:lang w:val="en-IN"/>
        </w:rPr>
      </w:pPr>
      <w:r>
        <w:rPr>
          <w:lang w:val="en-IN"/>
        </w:rPr>
        <w:t xml:space="preserve">* Corresponding author- Akash </w:t>
      </w:r>
      <w:proofErr w:type="spellStart"/>
      <w:r>
        <w:rPr>
          <w:lang w:val="en-IN"/>
        </w:rPr>
        <w:t>Ganguly</w:t>
      </w:r>
      <w:proofErr w:type="spellEnd"/>
      <w:r>
        <w:rPr>
          <w:lang w:val="en-IN"/>
        </w:rPr>
        <w:t xml:space="preserve">, </w:t>
      </w:r>
    </w:p>
    <w:p w14:paraId="35786135" w14:textId="77777777" w:rsidR="00471971" w:rsidRPr="00D1481B" w:rsidRDefault="00471971" w:rsidP="00471971">
      <w:pPr>
        <w:pStyle w:val="Funotentext"/>
        <w:rPr>
          <w:lang w:val="en-IN"/>
        </w:rPr>
      </w:pPr>
      <w:r>
        <w:rPr>
          <w:lang w:val="en-IN"/>
        </w:rPr>
        <w:t>Email – akashg@prl.res.in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AA"/>
    <w:rsid w:val="0021310B"/>
    <w:rsid w:val="0023184D"/>
    <w:rsid w:val="002B1251"/>
    <w:rsid w:val="00330AB5"/>
    <w:rsid w:val="003E5E0B"/>
    <w:rsid w:val="00471971"/>
    <w:rsid w:val="00493D1F"/>
    <w:rsid w:val="004D40AA"/>
    <w:rsid w:val="004D6732"/>
    <w:rsid w:val="005B3EA3"/>
    <w:rsid w:val="005B6EC7"/>
    <w:rsid w:val="005B79BB"/>
    <w:rsid w:val="006466EF"/>
    <w:rsid w:val="00651B65"/>
    <w:rsid w:val="006B22E1"/>
    <w:rsid w:val="006E770D"/>
    <w:rsid w:val="00721D70"/>
    <w:rsid w:val="007843DF"/>
    <w:rsid w:val="007C3A8B"/>
    <w:rsid w:val="007C6913"/>
    <w:rsid w:val="007E4623"/>
    <w:rsid w:val="007F6163"/>
    <w:rsid w:val="00893C9F"/>
    <w:rsid w:val="008B2F0F"/>
    <w:rsid w:val="008F55AE"/>
    <w:rsid w:val="008F6315"/>
    <w:rsid w:val="009F3CFA"/>
    <w:rsid w:val="00B712D1"/>
    <w:rsid w:val="00C212DB"/>
    <w:rsid w:val="00C24ABD"/>
    <w:rsid w:val="00C8248F"/>
    <w:rsid w:val="00CD0073"/>
    <w:rsid w:val="00D07903"/>
    <w:rsid w:val="00DA7679"/>
    <w:rsid w:val="00E92E9B"/>
    <w:rsid w:val="00EB0405"/>
    <w:rsid w:val="00F147C5"/>
    <w:rsid w:val="00F2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A7119"/>
  <w15:chartTrackingRefBased/>
  <w15:docId w15:val="{52F9A2FF-E696-4CAD-A4FC-81B9231D8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21D70"/>
    <w:rPr>
      <w:rFonts w:eastAsiaTheme="minorEastAsia"/>
      <w:sz w:val="20"/>
      <w:szCs w:val="20"/>
      <w:lang w:val="en-US"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843DF"/>
    <w:pPr>
      <w:keepNext/>
      <w:keepLines/>
      <w:spacing w:before="240" w:after="0" w:line="48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61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6163"/>
    <w:rPr>
      <w:rFonts w:eastAsiaTheme="minorEastAsia"/>
      <w:sz w:val="20"/>
      <w:szCs w:val="20"/>
      <w:lang w:val="en-US" w:eastAsia="zh-CN"/>
    </w:rPr>
  </w:style>
  <w:style w:type="paragraph" w:styleId="Fuzeile">
    <w:name w:val="footer"/>
    <w:basedOn w:val="Standard"/>
    <w:link w:val="FuzeileZchn"/>
    <w:uiPriority w:val="99"/>
    <w:unhideWhenUsed/>
    <w:rsid w:val="007F61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6163"/>
    <w:rPr>
      <w:rFonts w:eastAsiaTheme="minorEastAsia"/>
      <w:sz w:val="20"/>
      <w:szCs w:val="20"/>
      <w:lang w:val="en-US" w:eastAsia="zh-CN"/>
    </w:rPr>
  </w:style>
  <w:style w:type="paragraph" w:styleId="Titel">
    <w:name w:val="Title"/>
    <w:basedOn w:val="Standard"/>
    <w:next w:val="Standard"/>
    <w:link w:val="TitelZchn"/>
    <w:uiPriority w:val="10"/>
    <w:qFormat/>
    <w:rsid w:val="007F61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F6163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843D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zh-CN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843DF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843DF"/>
    <w:rPr>
      <w:rFonts w:eastAsiaTheme="minorEastAsia"/>
      <w:sz w:val="20"/>
      <w:szCs w:val="20"/>
      <w:lang w:val="en-US" w:eastAsia="zh-CN"/>
    </w:rPr>
  </w:style>
  <w:style w:type="character" w:styleId="Funotenzeichen">
    <w:name w:val="footnote reference"/>
    <w:basedOn w:val="Absatz-Standardschriftart"/>
    <w:uiPriority w:val="99"/>
    <w:semiHidden/>
    <w:unhideWhenUsed/>
    <w:rsid w:val="007843DF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8248F"/>
    <w:pPr>
      <w:spacing w:after="0"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8248F"/>
    <w:rPr>
      <w:rFonts w:eastAsiaTheme="minorEastAsia"/>
      <w:sz w:val="20"/>
      <w:szCs w:val="20"/>
      <w:lang w:val="en-US" w:eastAsia="zh-CN"/>
    </w:rPr>
  </w:style>
  <w:style w:type="table" w:styleId="Tabellenraster">
    <w:name w:val="Table Grid"/>
    <w:basedOn w:val="NormaleTabelle"/>
    <w:uiPriority w:val="39"/>
    <w:rsid w:val="00CD0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CD007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840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Akash Ganguly</dc:creator>
  <cp:keywords/>
  <dc:description/>
  <cp:lastModifiedBy>Heike Reichelt hreich</cp:lastModifiedBy>
  <cp:revision>16</cp:revision>
  <dcterms:created xsi:type="dcterms:W3CDTF">2021-07-01T10:56:00Z</dcterms:created>
  <dcterms:modified xsi:type="dcterms:W3CDTF">2022-11-25T11:04:00Z</dcterms:modified>
</cp:coreProperties>
</file>