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3F1543">
      <w:pPr>
        <w:pStyle w:val="SupplementaryMaterial"/>
        <w:outlineLvl w:val="0"/>
        <w:rPr>
          <w:b w:val="0"/>
        </w:rPr>
      </w:pPr>
      <w:r w:rsidRPr="001549D3">
        <w:t>Supplementary Material</w:t>
      </w:r>
    </w:p>
    <w:p w:rsidR="00994A3D" w:rsidRPr="001549D3" w:rsidRDefault="00994A3D" w:rsidP="00994A3D">
      <w:pPr>
        <w:keepNext/>
        <w:rPr>
          <w:rFonts w:cs="Times New Roman"/>
          <w:szCs w:val="24"/>
        </w:rPr>
      </w:pPr>
    </w:p>
    <w:p w:rsidR="00994A3D" w:rsidRPr="001549D3" w:rsidRDefault="00CD1CD7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de-DE" w:eastAsia="de-DE"/>
        </w:rPr>
        <w:drawing>
          <wp:inline distT="0" distB="0" distL="0" distR="0">
            <wp:extent cx="6208395" cy="12065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l Figure 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D7" w:rsidRPr="00CD1CD7" w:rsidRDefault="00994A3D" w:rsidP="00CD1CD7">
      <w:pPr>
        <w:keepNext/>
        <w:jc w:val="both"/>
        <w:rPr>
          <w:rFonts w:cs="Times New Roman"/>
          <w:b/>
          <w:szCs w:val="24"/>
        </w:rPr>
      </w:pPr>
      <w:r w:rsidRPr="00126CD8">
        <w:rPr>
          <w:rFonts w:cs="Times New Roman"/>
          <w:b/>
          <w:szCs w:val="24"/>
        </w:rPr>
        <w:t>Supplementary Figure</w:t>
      </w:r>
      <w:r w:rsidR="00126CD8">
        <w:rPr>
          <w:rFonts w:cs="Times New Roman"/>
          <w:b/>
          <w:szCs w:val="24"/>
        </w:rPr>
        <w:t xml:space="preserve"> 1</w:t>
      </w:r>
      <w:bookmarkStart w:id="0" w:name="_GoBack"/>
      <w:bookmarkEnd w:id="0"/>
      <w:r w:rsidRPr="00126CD8">
        <w:rPr>
          <w:rFonts w:cs="Times New Roman"/>
          <w:b/>
          <w:szCs w:val="24"/>
        </w:rPr>
        <w:t xml:space="preserve"> </w:t>
      </w:r>
      <w:r w:rsidR="00CD1CD7" w:rsidRPr="00126CD8">
        <w:t>(A–D) Expression levels of CD25, CTLA-4, PD-1 and ICOS per CD4</w:t>
      </w:r>
      <w:r w:rsidR="00CD1CD7" w:rsidRPr="00126CD8">
        <w:rPr>
          <w:vertAlign w:val="superscript"/>
        </w:rPr>
        <w:t>+</w:t>
      </w:r>
      <w:r w:rsidR="00CD1CD7" w:rsidRPr="00126CD8">
        <w:t xml:space="preserve"> T cell as the mean fluorescence intensity (MFI). </w:t>
      </w:r>
      <w:r w:rsidR="00CD1CD7" w:rsidRPr="00126CD8">
        <w:rPr>
          <w:lang w:val="en-GB"/>
        </w:rPr>
        <w:t>CD4</w:t>
      </w:r>
      <w:r w:rsidR="00CD1CD7" w:rsidRPr="00126CD8">
        <w:rPr>
          <w:vertAlign w:val="superscript"/>
          <w:lang w:val="en-GB"/>
        </w:rPr>
        <w:t>+</w:t>
      </w:r>
      <w:r w:rsidR="00CD1CD7" w:rsidRPr="00126CD8">
        <w:rPr>
          <w:lang w:val="en-GB"/>
        </w:rPr>
        <w:t>CD25</w:t>
      </w:r>
      <w:r w:rsidR="00CD1CD7" w:rsidRPr="00126CD8">
        <w:rPr>
          <w:vertAlign w:val="superscript"/>
          <w:lang w:val="en-GB"/>
        </w:rPr>
        <w:t>+</w:t>
      </w:r>
      <w:r w:rsidR="00CD1CD7" w:rsidRPr="00126CD8">
        <w:rPr>
          <w:lang w:val="en-GB"/>
        </w:rPr>
        <w:t xml:space="preserve"> T cells from wild-type (LH/CGR</w:t>
      </w:r>
      <w:r w:rsidR="00CD1CD7" w:rsidRPr="00126CD8">
        <w:rPr>
          <w:vertAlign w:val="superscript"/>
          <w:lang w:val="en-GB"/>
        </w:rPr>
        <w:t>+/+</w:t>
      </w:r>
      <w:r w:rsidR="00CD1CD7" w:rsidRPr="00126CD8">
        <w:rPr>
          <w:lang w:val="en-GB"/>
        </w:rPr>
        <w:t xml:space="preserve">; </w:t>
      </w:r>
      <w:r w:rsidR="00CD1CD7" w:rsidRPr="00126CD8">
        <w:rPr>
          <w:i/>
          <w:iCs/>
          <w:lang w:val="en-GB"/>
        </w:rPr>
        <w:t>n</w:t>
      </w:r>
      <w:r w:rsidR="00CD1CD7" w:rsidRPr="00126CD8">
        <w:rPr>
          <w:lang w:val="en-GB"/>
        </w:rPr>
        <w:t xml:space="preserve"> = 6) or LH/CGR-deficient (LH/CGR</w:t>
      </w:r>
      <w:r w:rsidR="00CD1CD7" w:rsidRPr="00126CD8">
        <w:rPr>
          <w:vertAlign w:val="superscript"/>
          <w:lang w:val="en-GB"/>
        </w:rPr>
        <w:t>-/-</w:t>
      </w:r>
      <w:r w:rsidR="00CD1CD7" w:rsidRPr="00126CD8">
        <w:rPr>
          <w:lang w:val="en-GB"/>
        </w:rPr>
        <w:t xml:space="preserve">; </w:t>
      </w:r>
      <w:r w:rsidR="00CD1CD7" w:rsidRPr="00126CD8">
        <w:rPr>
          <w:i/>
          <w:iCs/>
          <w:lang w:val="en-GB"/>
        </w:rPr>
        <w:t>n</w:t>
      </w:r>
      <w:r w:rsidR="00CD1CD7" w:rsidRPr="00126CD8">
        <w:rPr>
          <w:lang w:val="en-GB"/>
        </w:rPr>
        <w:t xml:space="preserve"> = 4) female mice were </w:t>
      </w:r>
      <w:r w:rsidR="00CD1CD7" w:rsidRPr="00126CD8">
        <w:t>included in the assays. All assays were run in duplicate. Data are presented as the mean plus standard error of the mean</w:t>
      </w:r>
      <w:r w:rsidR="00734850" w:rsidRPr="00126CD8">
        <w:t xml:space="preserve"> (S.E.M.). Statistical analysis among </w:t>
      </w:r>
      <w:r w:rsidR="00734850" w:rsidRPr="00126CD8">
        <w:rPr>
          <w:lang w:val="en-GB"/>
        </w:rPr>
        <w:t>LH/CGR</w:t>
      </w:r>
      <w:r w:rsidR="00734850" w:rsidRPr="00126CD8">
        <w:rPr>
          <w:vertAlign w:val="superscript"/>
          <w:lang w:val="en-GB"/>
        </w:rPr>
        <w:t xml:space="preserve">+/+ </w:t>
      </w:r>
      <w:r w:rsidR="00734850" w:rsidRPr="00126CD8">
        <w:t xml:space="preserve">or </w:t>
      </w:r>
      <w:r w:rsidR="00734850" w:rsidRPr="00126CD8">
        <w:rPr>
          <w:lang w:val="en-GB"/>
        </w:rPr>
        <w:t>LH/CGR</w:t>
      </w:r>
      <w:r w:rsidR="00734850" w:rsidRPr="00126CD8">
        <w:rPr>
          <w:vertAlign w:val="superscript"/>
          <w:lang w:val="en-GB"/>
        </w:rPr>
        <w:t>-/-</w:t>
      </w:r>
      <w:r w:rsidR="00CD1CD7" w:rsidRPr="00126CD8">
        <w:t xml:space="preserve"> groups used the Friedman test followed by Dunn’s multiple-comparison test. For comparisons between WT and KO groups, the </w:t>
      </w:r>
      <w:proofErr w:type="spellStart"/>
      <w:r w:rsidR="00CD1CD7" w:rsidRPr="00126CD8">
        <w:t>Kruskal</w:t>
      </w:r>
      <w:proofErr w:type="spellEnd"/>
      <w:r w:rsidR="00CD1CD7" w:rsidRPr="00126CD8">
        <w:t xml:space="preserve">–Wallis test was used, followed by Dunn’s multiple-comparison test. </w:t>
      </w:r>
      <w:r w:rsidR="00734850" w:rsidRPr="00126CD8">
        <w:rPr>
          <w:rFonts w:cs="Times New Roman"/>
          <w:szCs w:val="24"/>
        </w:rPr>
        <w:t>Following, means plus S.E.M. are provided for significant differences between</w:t>
      </w:r>
      <w:r w:rsidR="00734850" w:rsidRPr="00126CD8">
        <w:rPr>
          <w:rFonts w:cs="Times New Roman"/>
          <w:color w:val="00B050"/>
          <w:szCs w:val="24"/>
        </w:rPr>
        <w:t xml:space="preserve"> </w:t>
      </w:r>
      <w:r w:rsidR="00734850" w:rsidRPr="00126CD8">
        <w:rPr>
          <w:lang w:val="en-GB"/>
        </w:rPr>
        <w:t>LH/CGR</w:t>
      </w:r>
      <w:r w:rsidR="00734850" w:rsidRPr="00126CD8">
        <w:rPr>
          <w:vertAlign w:val="superscript"/>
          <w:lang w:val="en-GB"/>
        </w:rPr>
        <w:t xml:space="preserve">+/+ </w:t>
      </w:r>
      <w:r w:rsidR="007F17F6" w:rsidRPr="00126CD8">
        <w:rPr>
          <w:lang w:val="en-GB"/>
        </w:rPr>
        <w:t xml:space="preserve">plus </w:t>
      </w:r>
      <w:proofErr w:type="spellStart"/>
      <w:r w:rsidR="007F17F6" w:rsidRPr="00126CD8">
        <w:rPr>
          <w:lang w:val="en-GB"/>
        </w:rPr>
        <w:t>uhCG</w:t>
      </w:r>
      <w:proofErr w:type="spellEnd"/>
      <w:r w:rsidR="007F17F6" w:rsidRPr="00126CD8">
        <w:rPr>
          <w:lang w:val="en-GB"/>
        </w:rPr>
        <w:t xml:space="preserve"> </w:t>
      </w:r>
      <w:r w:rsidR="00734850" w:rsidRPr="00126CD8">
        <w:rPr>
          <w:rFonts w:cs="Times New Roman"/>
          <w:szCs w:val="24"/>
        </w:rPr>
        <w:t xml:space="preserve">vs </w:t>
      </w:r>
      <w:r w:rsidR="00734850" w:rsidRPr="00126CD8">
        <w:rPr>
          <w:lang w:val="en-GB"/>
        </w:rPr>
        <w:t>LH/CGR</w:t>
      </w:r>
      <w:r w:rsidR="00734850" w:rsidRPr="00126CD8">
        <w:rPr>
          <w:vertAlign w:val="superscript"/>
          <w:lang w:val="en-GB"/>
        </w:rPr>
        <w:t>-/-</w:t>
      </w:r>
      <w:r w:rsidR="007F17F6" w:rsidRPr="00126CD8">
        <w:rPr>
          <w:vertAlign w:val="superscript"/>
          <w:lang w:val="en-GB"/>
        </w:rPr>
        <w:t xml:space="preserve"> </w:t>
      </w:r>
      <w:r w:rsidR="007F17F6" w:rsidRPr="00126CD8">
        <w:rPr>
          <w:lang w:val="en-GB"/>
        </w:rPr>
        <w:t xml:space="preserve">plus </w:t>
      </w:r>
      <w:proofErr w:type="spellStart"/>
      <w:r w:rsidR="007F17F6" w:rsidRPr="00126CD8">
        <w:rPr>
          <w:lang w:val="en-GB"/>
        </w:rPr>
        <w:t>uhCG</w:t>
      </w:r>
      <w:proofErr w:type="spellEnd"/>
      <w:r w:rsidR="007F17F6" w:rsidRPr="00126CD8">
        <w:rPr>
          <w:lang w:val="en-GB"/>
        </w:rPr>
        <w:t xml:space="preserve"> for CTLA-4</w:t>
      </w:r>
      <w:r w:rsidR="003F1543" w:rsidRPr="00126CD8">
        <w:rPr>
          <w:rFonts w:cs="Times New Roman"/>
          <w:szCs w:val="24"/>
        </w:rPr>
        <w:t>: 2730±55.35 vs 2381±41.89</w:t>
      </w:r>
      <w:r w:rsidR="007F17F6" w:rsidRPr="00126CD8">
        <w:rPr>
          <w:rFonts w:cs="Times New Roman"/>
          <w:szCs w:val="24"/>
        </w:rPr>
        <w:t xml:space="preserve"> and for PD-1</w:t>
      </w:r>
      <w:r w:rsidR="003F1543" w:rsidRPr="00126CD8">
        <w:rPr>
          <w:rFonts w:cs="Times New Roman"/>
          <w:szCs w:val="24"/>
        </w:rPr>
        <w:t>: 662.1±5.861 vs 595.3±22.31</w:t>
      </w:r>
      <w:r w:rsidR="007F17F6" w:rsidRPr="00126CD8">
        <w:rPr>
          <w:rFonts w:cs="Times New Roman"/>
          <w:szCs w:val="24"/>
        </w:rPr>
        <w:t xml:space="preserve">; </w:t>
      </w:r>
      <w:r w:rsidR="007F17F6" w:rsidRPr="00126CD8">
        <w:rPr>
          <w:lang w:val="en-GB"/>
        </w:rPr>
        <w:t>LH/CGR</w:t>
      </w:r>
      <w:r w:rsidR="007F17F6" w:rsidRPr="00126CD8">
        <w:rPr>
          <w:vertAlign w:val="superscript"/>
          <w:lang w:val="en-GB"/>
        </w:rPr>
        <w:t xml:space="preserve">+/+ </w:t>
      </w:r>
      <w:r w:rsidR="007F17F6" w:rsidRPr="00126CD8">
        <w:rPr>
          <w:rFonts w:cs="Times New Roman"/>
          <w:szCs w:val="24"/>
        </w:rPr>
        <w:t xml:space="preserve">vs </w:t>
      </w:r>
      <w:r w:rsidR="007F17F6" w:rsidRPr="00126CD8">
        <w:rPr>
          <w:lang w:val="en-GB"/>
        </w:rPr>
        <w:t>LH/CGR</w:t>
      </w:r>
      <w:r w:rsidR="007F17F6" w:rsidRPr="00126CD8">
        <w:rPr>
          <w:vertAlign w:val="superscript"/>
          <w:lang w:val="en-GB"/>
        </w:rPr>
        <w:t xml:space="preserve">-/- </w:t>
      </w:r>
      <w:r w:rsidR="007F17F6" w:rsidRPr="00126CD8">
        <w:rPr>
          <w:lang w:val="en-GB"/>
        </w:rPr>
        <w:t>for ICOS</w:t>
      </w:r>
      <w:r w:rsidR="003F1543" w:rsidRPr="00126CD8">
        <w:rPr>
          <w:rFonts w:cs="Times New Roman"/>
          <w:szCs w:val="24"/>
        </w:rPr>
        <w:t xml:space="preserve">: 7395±810.2 vs 3033±228.1 (w/o </w:t>
      </w:r>
      <w:proofErr w:type="spellStart"/>
      <w:r w:rsidR="003F1543" w:rsidRPr="00126CD8">
        <w:rPr>
          <w:rFonts w:cs="Times New Roman"/>
          <w:szCs w:val="24"/>
        </w:rPr>
        <w:t>hCG</w:t>
      </w:r>
      <w:proofErr w:type="spellEnd"/>
      <w:r w:rsidR="003F1543" w:rsidRPr="00126CD8">
        <w:rPr>
          <w:rFonts w:cs="Times New Roman"/>
          <w:szCs w:val="24"/>
        </w:rPr>
        <w:t>), 7236±742.8 vs 3088±238.2 (</w:t>
      </w:r>
      <w:proofErr w:type="spellStart"/>
      <w:r w:rsidR="003F1543" w:rsidRPr="00126CD8">
        <w:rPr>
          <w:rFonts w:cs="Times New Roman"/>
          <w:szCs w:val="24"/>
        </w:rPr>
        <w:t>rhCG</w:t>
      </w:r>
      <w:proofErr w:type="spellEnd"/>
      <w:r w:rsidR="003F1543" w:rsidRPr="00126CD8">
        <w:rPr>
          <w:rFonts w:cs="Times New Roman"/>
          <w:szCs w:val="24"/>
        </w:rPr>
        <w:t>), 7712±710.0 vs 3060±227.0</w:t>
      </w:r>
      <w:r w:rsidR="007F17F6" w:rsidRPr="00126CD8">
        <w:rPr>
          <w:rFonts w:cs="Times New Roman"/>
          <w:szCs w:val="24"/>
        </w:rPr>
        <w:t xml:space="preserve"> (</w:t>
      </w:r>
      <w:proofErr w:type="spellStart"/>
      <w:r w:rsidR="007F17F6" w:rsidRPr="00126CD8">
        <w:rPr>
          <w:rFonts w:cs="Times New Roman"/>
          <w:szCs w:val="24"/>
        </w:rPr>
        <w:t>uhCG</w:t>
      </w:r>
      <w:proofErr w:type="spellEnd"/>
      <w:r w:rsidR="007F17F6" w:rsidRPr="00126CD8">
        <w:rPr>
          <w:rFonts w:cs="Times New Roman"/>
          <w:szCs w:val="24"/>
        </w:rPr>
        <w:t xml:space="preserve">) and </w:t>
      </w:r>
      <w:r w:rsidR="007F17F6" w:rsidRPr="00126CD8">
        <w:rPr>
          <w:lang w:val="en-GB"/>
        </w:rPr>
        <w:t>LH/CGR</w:t>
      </w:r>
      <w:r w:rsidR="007F17F6" w:rsidRPr="00126CD8">
        <w:rPr>
          <w:vertAlign w:val="superscript"/>
          <w:lang w:val="en-GB"/>
        </w:rPr>
        <w:t xml:space="preserve">-/- </w:t>
      </w:r>
      <w:r w:rsidR="007F17F6" w:rsidRPr="00126CD8">
        <w:rPr>
          <w:lang w:val="en-GB"/>
        </w:rPr>
        <w:t xml:space="preserve">w/o </w:t>
      </w:r>
      <w:proofErr w:type="spellStart"/>
      <w:r w:rsidR="007F17F6" w:rsidRPr="00126CD8">
        <w:rPr>
          <w:lang w:val="en-GB"/>
        </w:rPr>
        <w:t>hCG</w:t>
      </w:r>
      <w:proofErr w:type="spellEnd"/>
      <w:r w:rsidR="007F17F6" w:rsidRPr="00126CD8">
        <w:rPr>
          <w:lang w:val="en-GB"/>
        </w:rPr>
        <w:t xml:space="preserve"> vs LH/CGR</w:t>
      </w:r>
      <w:r w:rsidR="007F17F6" w:rsidRPr="00126CD8">
        <w:rPr>
          <w:vertAlign w:val="superscript"/>
          <w:lang w:val="en-GB"/>
        </w:rPr>
        <w:t xml:space="preserve">-/- </w:t>
      </w:r>
      <w:proofErr w:type="spellStart"/>
      <w:r w:rsidR="007F17F6" w:rsidRPr="00126CD8">
        <w:rPr>
          <w:lang w:val="en-GB"/>
        </w:rPr>
        <w:t>uhCG</w:t>
      </w:r>
      <w:proofErr w:type="spellEnd"/>
      <w:r w:rsidR="007F17F6" w:rsidRPr="00126CD8">
        <w:rPr>
          <w:lang w:val="en-GB"/>
        </w:rPr>
        <w:t xml:space="preserve"> for CD25:  </w:t>
      </w:r>
      <w:r w:rsidR="003F1543" w:rsidRPr="00126CD8">
        <w:rPr>
          <w:rFonts w:cs="Times New Roman"/>
          <w:szCs w:val="24"/>
        </w:rPr>
        <w:t>8790±1067 vs 9083±1136</w:t>
      </w:r>
      <w:r w:rsidR="007F17F6" w:rsidRPr="00126CD8">
        <w:rPr>
          <w:rFonts w:cs="Times New Roman"/>
          <w:color w:val="00B050"/>
          <w:szCs w:val="24"/>
        </w:rPr>
        <w:t xml:space="preserve"> </w:t>
      </w:r>
      <w:r w:rsidR="00CD1CD7" w:rsidRPr="00126CD8">
        <w:t xml:space="preserve">* indicates </w:t>
      </w:r>
      <w:r w:rsidR="00CD1CD7" w:rsidRPr="00126CD8">
        <w:rPr>
          <w:i/>
          <w:iCs/>
        </w:rPr>
        <w:t>p</w:t>
      </w:r>
      <w:r w:rsidR="00CD1CD7" w:rsidRPr="00126CD8">
        <w:t xml:space="preserve"> &lt;0.05. </w:t>
      </w:r>
      <w:proofErr w:type="spellStart"/>
      <w:proofErr w:type="gramStart"/>
      <w:r w:rsidR="00CD1CD7" w:rsidRPr="00126CD8">
        <w:t>rhCG</w:t>
      </w:r>
      <w:proofErr w:type="spellEnd"/>
      <w:proofErr w:type="gramEnd"/>
      <w:r w:rsidR="00CD1CD7" w:rsidRPr="00126CD8">
        <w:t xml:space="preserve">, recombinant </w:t>
      </w:r>
      <w:proofErr w:type="spellStart"/>
      <w:r w:rsidR="00CD1CD7" w:rsidRPr="00126CD8">
        <w:t>hCG</w:t>
      </w:r>
      <w:proofErr w:type="spellEnd"/>
      <w:r w:rsidR="00CD1CD7" w:rsidRPr="00126CD8">
        <w:t xml:space="preserve">; </w:t>
      </w:r>
      <w:proofErr w:type="spellStart"/>
      <w:r w:rsidR="00CD1CD7" w:rsidRPr="00126CD8">
        <w:t>uhCG</w:t>
      </w:r>
      <w:proofErr w:type="spellEnd"/>
      <w:r w:rsidR="00CD1CD7" w:rsidRPr="00126CD8">
        <w:t xml:space="preserve">, urine-derived </w:t>
      </w:r>
      <w:proofErr w:type="spellStart"/>
      <w:r w:rsidR="00CD1CD7" w:rsidRPr="00126CD8">
        <w:t>hCG</w:t>
      </w:r>
      <w:proofErr w:type="spellEnd"/>
      <w:r w:rsidR="00CD1CD7" w:rsidRPr="00126CD8">
        <w:t>.</w:t>
      </w:r>
    </w:p>
    <w:p w:rsidR="00DE23E8" w:rsidRDefault="00CD1CD7" w:rsidP="00654E8F">
      <w:pPr>
        <w:spacing w:before="240"/>
      </w:pPr>
      <w:r>
        <w:rPr>
          <w:noProof/>
          <w:lang w:val="de-DE" w:eastAsia="de-DE"/>
        </w:rPr>
        <w:drawing>
          <wp:inline distT="0" distB="0" distL="0" distR="0">
            <wp:extent cx="6208395" cy="2477135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l Figure 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D7" w:rsidRPr="00CD1CD7" w:rsidRDefault="00CD1CD7" w:rsidP="00656895">
      <w:pPr>
        <w:spacing w:before="240"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 xml:space="preserve">2 </w:t>
      </w:r>
      <w:r w:rsidRPr="00CD1CD7">
        <w:t>(A–F) Percentages of CD4</w:t>
      </w:r>
      <w:r w:rsidRPr="00CD1CD7">
        <w:rPr>
          <w:vertAlign w:val="superscript"/>
        </w:rPr>
        <w:t>+</w:t>
      </w:r>
      <w:r w:rsidRPr="00CD1CD7">
        <w:t>IL-17</w:t>
      </w:r>
      <w:r w:rsidRPr="00CD1CD7">
        <w:rPr>
          <w:vertAlign w:val="superscript"/>
        </w:rPr>
        <w:t>+</w:t>
      </w:r>
      <w:r w:rsidRPr="00CD1CD7">
        <w:t>, CD4</w:t>
      </w:r>
      <w:r w:rsidRPr="00CD1CD7">
        <w:rPr>
          <w:vertAlign w:val="superscript"/>
        </w:rPr>
        <w:t>+</w:t>
      </w:r>
      <w:r w:rsidRPr="00CD1CD7">
        <w:t>FOXP3</w:t>
      </w:r>
      <w:r w:rsidRPr="00CD1CD7">
        <w:rPr>
          <w:vertAlign w:val="superscript"/>
        </w:rPr>
        <w:t>+</w:t>
      </w:r>
      <w:r w:rsidRPr="00CD1CD7">
        <w:t>, CD4</w:t>
      </w:r>
      <w:r w:rsidRPr="00CD1CD7">
        <w:rPr>
          <w:vertAlign w:val="superscript"/>
        </w:rPr>
        <w:t>+</w:t>
      </w:r>
      <w:r w:rsidRPr="00CD1CD7">
        <w:t>TNFα</w:t>
      </w:r>
      <w:r w:rsidRPr="00CD1CD7">
        <w:rPr>
          <w:vertAlign w:val="superscript"/>
        </w:rPr>
        <w:t>+</w:t>
      </w:r>
      <w:r w:rsidRPr="00CD1CD7">
        <w:t xml:space="preserve"> and CD4</w:t>
      </w:r>
      <w:r w:rsidRPr="00CD1CD7">
        <w:rPr>
          <w:vertAlign w:val="superscript"/>
        </w:rPr>
        <w:t>+</w:t>
      </w:r>
      <w:r w:rsidRPr="00CD1CD7">
        <w:t>IL-10</w:t>
      </w:r>
      <w:r w:rsidRPr="00CD1CD7">
        <w:rPr>
          <w:vertAlign w:val="superscript"/>
        </w:rPr>
        <w:t>+</w:t>
      </w:r>
      <w:r w:rsidRPr="00CD1CD7">
        <w:t xml:space="preserve"> cells among CD45</w:t>
      </w:r>
      <w:r w:rsidRPr="00CD1CD7">
        <w:rPr>
          <w:vertAlign w:val="superscript"/>
        </w:rPr>
        <w:t>+</w:t>
      </w:r>
      <w:r w:rsidRPr="00CD1CD7">
        <w:t xml:space="preserve"> T cells, as well as Th17:Treg and Th17:Th2 ratios in cells from the spleen on gestational day (</w:t>
      </w:r>
      <w:proofErr w:type="spellStart"/>
      <w:r w:rsidRPr="00CD1CD7">
        <w:t>gd</w:t>
      </w:r>
      <w:proofErr w:type="spellEnd"/>
      <w:r w:rsidRPr="00CD1CD7">
        <w:t>) 12. (G–F) Percentages of CD4</w:t>
      </w:r>
      <w:r w:rsidRPr="00CD1CD7">
        <w:rPr>
          <w:vertAlign w:val="superscript"/>
        </w:rPr>
        <w:t>+</w:t>
      </w:r>
      <w:r w:rsidRPr="00CD1CD7">
        <w:t>IL-17</w:t>
      </w:r>
      <w:r w:rsidRPr="00CD1CD7">
        <w:rPr>
          <w:vertAlign w:val="superscript"/>
        </w:rPr>
        <w:t>+</w:t>
      </w:r>
      <w:r w:rsidRPr="00CD1CD7">
        <w:t>, CD4</w:t>
      </w:r>
      <w:r w:rsidRPr="00CD1CD7">
        <w:rPr>
          <w:vertAlign w:val="superscript"/>
        </w:rPr>
        <w:t>+</w:t>
      </w:r>
      <w:r w:rsidRPr="00CD1CD7">
        <w:t>FOXP3</w:t>
      </w:r>
      <w:r w:rsidRPr="00CD1CD7">
        <w:rPr>
          <w:vertAlign w:val="superscript"/>
        </w:rPr>
        <w:t>+</w:t>
      </w:r>
      <w:r w:rsidRPr="00CD1CD7">
        <w:t>, CD4</w:t>
      </w:r>
      <w:r w:rsidRPr="00CD1CD7">
        <w:rPr>
          <w:vertAlign w:val="superscript"/>
        </w:rPr>
        <w:t>+</w:t>
      </w:r>
      <w:r w:rsidRPr="00CD1CD7">
        <w:t>TNFα</w:t>
      </w:r>
      <w:r w:rsidRPr="00CD1CD7">
        <w:rPr>
          <w:vertAlign w:val="superscript"/>
        </w:rPr>
        <w:t>+</w:t>
      </w:r>
      <w:r w:rsidRPr="00CD1CD7">
        <w:t xml:space="preserve"> and CD4</w:t>
      </w:r>
      <w:r w:rsidRPr="00CD1CD7">
        <w:rPr>
          <w:vertAlign w:val="superscript"/>
        </w:rPr>
        <w:t>+</w:t>
      </w:r>
      <w:r w:rsidRPr="00CD1CD7">
        <w:t>IL-10</w:t>
      </w:r>
      <w:r w:rsidRPr="00CD1CD7">
        <w:rPr>
          <w:vertAlign w:val="superscript"/>
        </w:rPr>
        <w:t>+</w:t>
      </w:r>
      <w:r w:rsidRPr="00CD1CD7">
        <w:t xml:space="preserve"> cells among CD45</w:t>
      </w:r>
      <w:r w:rsidRPr="00CD1CD7">
        <w:rPr>
          <w:vertAlign w:val="superscript"/>
        </w:rPr>
        <w:t>+</w:t>
      </w:r>
      <w:r w:rsidRPr="00CD1CD7">
        <w:t xml:space="preserve"> T cells, as well as Th17:Treg and Th17:Th2 ratios in cells from the lymph nodes (inguinal and para-aortic) on </w:t>
      </w:r>
      <w:proofErr w:type="spellStart"/>
      <w:r w:rsidRPr="00CD1CD7">
        <w:t>gd</w:t>
      </w:r>
      <w:proofErr w:type="spellEnd"/>
      <w:r w:rsidRPr="00CD1CD7">
        <w:t xml:space="preserve"> 12. </w:t>
      </w:r>
      <w:r w:rsidRPr="00CD1CD7">
        <w:rPr>
          <w:lang w:val="en-GB"/>
        </w:rPr>
        <w:t>Experimental groups were vehicle-only injection (</w:t>
      </w:r>
      <w:r w:rsidRPr="00CD1CD7">
        <w:rPr>
          <w:i/>
          <w:iCs/>
          <w:lang w:val="en-GB"/>
        </w:rPr>
        <w:t>n</w:t>
      </w:r>
      <w:r w:rsidRPr="00CD1CD7">
        <w:rPr>
          <w:lang w:val="en-GB"/>
        </w:rPr>
        <w:t xml:space="preserve"> = 6), non-</w:t>
      </w:r>
      <w:proofErr w:type="spellStart"/>
      <w:r w:rsidRPr="00CD1CD7">
        <w:rPr>
          <w:lang w:val="en-GB"/>
        </w:rPr>
        <w:t>hCG</w:t>
      </w:r>
      <w:proofErr w:type="spellEnd"/>
      <w:r w:rsidRPr="00CD1CD7">
        <w:rPr>
          <w:lang w:val="en-GB"/>
        </w:rPr>
        <w:t xml:space="preserve">-treated </w:t>
      </w:r>
      <w:proofErr w:type="spellStart"/>
      <w:proofErr w:type="gramStart"/>
      <w:r w:rsidRPr="00CD1CD7">
        <w:rPr>
          <w:lang w:val="en-GB"/>
        </w:rPr>
        <w:t>T</w:t>
      </w:r>
      <w:r w:rsidRPr="00CD1CD7">
        <w:rPr>
          <w:vertAlign w:val="subscript"/>
          <w:lang w:val="en-GB"/>
        </w:rPr>
        <w:t>inf</w:t>
      </w:r>
      <w:proofErr w:type="spellEnd"/>
      <w:r w:rsidRPr="00CD1CD7">
        <w:rPr>
          <w:vertAlign w:val="subscript"/>
          <w:lang w:val="en-GB"/>
        </w:rPr>
        <w:t>(</w:t>
      </w:r>
      <w:proofErr w:type="gramEnd"/>
      <w:r w:rsidRPr="00CD1CD7">
        <w:rPr>
          <w:vertAlign w:val="subscript"/>
          <w:lang w:val="en-GB"/>
        </w:rPr>
        <w:t>Th17)</w:t>
      </w:r>
      <w:r w:rsidRPr="00CD1CD7">
        <w:rPr>
          <w:lang w:val="en-GB"/>
        </w:rPr>
        <w:t xml:space="preserve"> transfer (</w:t>
      </w:r>
      <w:r w:rsidRPr="00CD1CD7">
        <w:rPr>
          <w:i/>
          <w:iCs/>
          <w:lang w:val="en-GB"/>
        </w:rPr>
        <w:t>n</w:t>
      </w:r>
      <w:r w:rsidRPr="00CD1CD7">
        <w:rPr>
          <w:lang w:val="en-GB"/>
        </w:rPr>
        <w:t xml:space="preserve"> = 6), and </w:t>
      </w:r>
      <w:proofErr w:type="spellStart"/>
      <w:r w:rsidRPr="00CD1CD7">
        <w:rPr>
          <w:lang w:val="en-GB"/>
        </w:rPr>
        <w:t>hCG</w:t>
      </w:r>
      <w:proofErr w:type="spellEnd"/>
      <w:r w:rsidRPr="00CD1CD7">
        <w:rPr>
          <w:lang w:val="en-GB"/>
        </w:rPr>
        <w:t xml:space="preserve">-treated </w:t>
      </w:r>
      <w:proofErr w:type="spellStart"/>
      <w:r w:rsidRPr="00CD1CD7">
        <w:rPr>
          <w:lang w:val="en-GB"/>
        </w:rPr>
        <w:t>T</w:t>
      </w:r>
      <w:r w:rsidRPr="00CD1CD7">
        <w:rPr>
          <w:vertAlign w:val="subscript"/>
          <w:lang w:val="en-GB"/>
        </w:rPr>
        <w:t>inf</w:t>
      </w:r>
      <w:proofErr w:type="spellEnd"/>
      <w:r w:rsidRPr="00CD1CD7">
        <w:rPr>
          <w:vertAlign w:val="subscript"/>
          <w:lang w:val="en-GB"/>
        </w:rPr>
        <w:t>(Th17)</w:t>
      </w:r>
      <w:r w:rsidRPr="00CD1CD7">
        <w:rPr>
          <w:lang w:val="en-GB"/>
        </w:rPr>
        <w:t xml:space="preserve"> transfer (</w:t>
      </w:r>
      <w:r w:rsidRPr="00CD1CD7">
        <w:rPr>
          <w:i/>
          <w:iCs/>
          <w:lang w:val="en-GB"/>
        </w:rPr>
        <w:t>n</w:t>
      </w:r>
      <w:r w:rsidRPr="00CD1CD7">
        <w:rPr>
          <w:lang w:val="en-GB"/>
        </w:rPr>
        <w:t xml:space="preserve"> = 7). </w:t>
      </w:r>
      <w:r w:rsidRPr="00CD1CD7">
        <w:t xml:space="preserve">Data are </w:t>
      </w:r>
      <w:r w:rsidRPr="00CD1CD7">
        <w:lastRenderedPageBreak/>
        <w:t xml:space="preserve">presented as medians showing individual values for each animal. For comparisons between experimental groups, the </w:t>
      </w:r>
      <w:proofErr w:type="spellStart"/>
      <w:r w:rsidRPr="00CD1CD7">
        <w:t>Kruskal</w:t>
      </w:r>
      <w:proofErr w:type="spellEnd"/>
      <w:r w:rsidRPr="00CD1CD7">
        <w:t>–Wallis test was used, followed by Dunn’s multiple-comparison test. No statistically significant differences were identified.</w:t>
      </w:r>
    </w:p>
    <w:p w:rsidR="00CD1CD7" w:rsidRPr="001549D3" w:rsidRDefault="00CD1CD7" w:rsidP="00654E8F">
      <w:pPr>
        <w:spacing w:before="240"/>
      </w:pPr>
    </w:p>
    <w:sectPr w:rsidR="00CD1CD7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EA" w:rsidRDefault="00B046EA" w:rsidP="00117666">
      <w:pPr>
        <w:spacing w:after="0"/>
      </w:pPr>
      <w:r>
        <w:separator/>
      </w:r>
    </w:p>
  </w:endnote>
  <w:endnote w:type="continuationSeparator" w:id="0">
    <w:p w:rsidR="00B046EA" w:rsidRDefault="00B046E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530473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84582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2B414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26CD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6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" filled="f" stroked="f" strokeweight=".5pt">
              <v:path arrowok="t"/>
              <v:textbox style="mso-fit-shape-to-text:t">
                <w:txbxContent>
                  <w:p w:rsidR="00995F6A" w:rsidRPr="00577C4C" w:rsidRDefault="002B414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26CD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530473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508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2B414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t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995F6A" w:rsidRPr="00577C4C" w:rsidRDefault="002B414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EA" w:rsidRDefault="00B046EA" w:rsidP="00117666">
      <w:pPr>
        <w:spacing w:after="0"/>
      </w:pPr>
      <w:r>
        <w:separator/>
      </w:r>
    </w:p>
  </w:footnote>
  <w:footnote w:type="continuationSeparator" w:id="0">
    <w:p w:rsidR="00B046EA" w:rsidRDefault="00B046E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26CD8"/>
    <w:rsid w:val="001549D3"/>
    <w:rsid w:val="00160065"/>
    <w:rsid w:val="00177D84"/>
    <w:rsid w:val="001A2623"/>
    <w:rsid w:val="00267D18"/>
    <w:rsid w:val="00274347"/>
    <w:rsid w:val="002868E2"/>
    <w:rsid w:val="002869C3"/>
    <w:rsid w:val="002936E4"/>
    <w:rsid w:val="002B4145"/>
    <w:rsid w:val="002B4A57"/>
    <w:rsid w:val="002C74CA"/>
    <w:rsid w:val="003123F4"/>
    <w:rsid w:val="003544FB"/>
    <w:rsid w:val="003D2F2D"/>
    <w:rsid w:val="003F1543"/>
    <w:rsid w:val="00401590"/>
    <w:rsid w:val="00447801"/>
    <w:rsid w:val="00452E9C"/>
    <w:rsid w:val="004735C8"/>
    <w:rsid w:val="004947A6"/>
    <w:rsid w:val="004961FF"/>
    <w:rsid w:val="004E3983"/>
    <w:rsid w:val="00517A89"/>
    <w:rsid w:val="005250F2"/>
    <w:rsid w:val="00530473"/>
    <w:rsid w:val="00593EEA"/>
    <w:rsid w:val="005A5EEE"/>
    <w:rsid w:val="006375C7"/>
    <w:rsid w:val="00654E8F"/>
    <w:rsid w:val="00656895"/>
    <w:rsid w:val="00660D05"/>
    <w:rsid w:val="006820B1"/>
    <w:rsid w:val="006B7D14"/>
    <w:rsid w:val="00701727"/>
    <w:rsid w:val="0070566C"/>
    <w:rsid w:val="00714C50"/>
    <w:rsid w:val="00725A7D"/>
    <w:rsid w:val="00734850"/>
    <w:rsid w:val="007501BE"/>
    <w:rsid w:val="00790BB3"/>
    <w:rsid w:val="0079561C"/>
    <w:rsid w:val="007C206C"/>
    <w:rsid w:val="007F17F6"/>
    <w:rsid w:val="008121DB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1FA6"/>
    <w:rsid w:val="00AB6715"/>
    <w:rsid w:val="00B046EA"/>
    <w:rsid w:val="00B1671E"/>
    <w:rsid w:val="00B25EB8"/>
    <w:rsid w:val="00B37F4D"/>
    <w:rsid w:val="00C52A7B"/>
    <w:rsid w:val="00C56BAF"/>
    <w:rsid w:val="00C679AA"/>
    <w:rsid w:val="00C75972"/>
    <w:rsid w:val="00CD066B"/>
    <w:rsid w:val="00CD1CD7"/>
    <w:rsid w:val="00CE4FEE"/>
    <w:rsid w:val="00D060CF"/>
    <w:rsid w:val="00D92A8F"/>
    <w:rsid w:val="00DB59C3"/>
    <w:rsid w:val="00DC259A"/>
    <w:rsid w:val="00DE23E8"/>
    <w:rsid w:val="00E52377"/>
    <w:rsid w:val="00E537AD"/>
    <w:rsid w:val="00E64E17"/>
    <w:rsid w:val="00E7692E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6DE95C-DEAC-492E-8162-A7EB5487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F15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F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59F14B-109C-4AFE-988E-8172F6F6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Anne Schumacher</cp:lastModifiedBy>
  <cp:revision>2</cp:revision>
  <cp:lastPrinted>2022-08-12T07:22:00Z</cp:lastPrinted>
  <dcterms:created xsi:type="dcterms:W3CDTF">2022-09-06T06:27:00Z</dcterms:created>
  <dcterms:modified xsi:type="dcterms:W3CDTF">2022-09-06T06:27:00Z</dcterms:modified>
</cp:coreProperties>
</file>