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3"/>
        <w:gridCol w:w="40"/>
        <w:gridCol w:w="582"/>
      </w:tblGrid>
      <w:tr w:rsidR="00095AD8" w14:paraId="4761602F" w14:textId="77777777" w:rsidTr="00946410">
        <w:tc>
          <w:tcPr>
            <w:tcW w:w="8663" w:type="dxa"/>
          </w:tcPr>
          <w:p w14:paraId="5D3819A3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648DDA85" wp14:editId="31050446">
                  <wp:extent cx="5364000" cy="3001986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ig_S1_raw_dat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0" cy="300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gridSpan w:val="2"/>
          </w:tcPr>
          <w:p w14:paraId="4C3C7BAC" w14:textId="77777777" w:rsidR="00095AD8" w:rsidRPr="004E15CA" w:rsidRDefault="00095AD8" w:rsidP="00946410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4E15CA">
              <w:rPr>
                <w:rFonts w:cs="Times New Roman"/>
                <w:b/>
                <w:szCs w:val="24"/>
              </w:rPr>
              <w:t>A</w:t>
            </w:r>
          </w:p>
        </w:tc>
      </w:tr>
      <w:tr w:rsidR="00095AD8" w14:paraId="6C881DFE" w14:textId="77777777" w:rsidTr="00946410">
        <w:tc>
          <w:tcPr>
            <w:tcW w:w="8703" w:type="dxa"/>
            <w:gridSpan w:val="2"/>
          </w:tcPr>
          <w:p w14:paraId="7DB3B7B9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2881B0BF" wp14:editId="12665586">
                  <wp:extent cx="5364000" cy="3001981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Fig_S2_S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0" cy="300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14:paraId="729C2D70" w14:textId="77777777" w:rsidR="00095AD8" w:rsidRPr="004E15CA" w:rsidRDefault="00095AD8" w:rsidP="00946410">
            <w:pPr>
              <w:spacing w:before="0" w:after="0"/>
              <w:jc w:val="both"/>
              <w:rPr>
                <w:rFonts w:cs="Times New Roman"/>
                <w:b/>
                <w:szCs w:val="24"/>
              </w:rPr>
            </w:pPr>
            <w:r w:rsidRPr="004E15CA">
              <w:rPr>
                <w:rFonts w:cs="Times New Roman"/>
                <w:b/>
                <w:szCs w:val="24"/>
              </w:rPr>
              <w:t>B</w:t>
            </w:r>
          </w:p>
        </w:tc>
      </w:tr>
    </w:tbl>
    <w:p w14:paraId="3CF3804D" w14:textId="73019CEE" w:rsidR="00095AD8" w:rsidRPr="00095AD8" w:rsidRDefault="00946410" w:rsidP="00095AD8">
      <w:pPr>
        <w:pStyle w:val="Caption"/>
        <w:rPr>
          <w:b w:val="0"/>
          <w:i/>
        </w:rPr>
      </w:pPr>
      <w:r w:rsidRPr="00994A3D">
        <w:t xml:space="preserve">Supplementary </w:t>
      </w:r>
      <w:r w:rsidR="00095AD8" w:rsidRPr="00F10F7A">
        <w:t xml:space="preserve">Figure </w:t>
      </w:r>
      <w:r w:rsidR="00095AD8">
        <w:t>X1 (</w:t>
      </w:r>
      <w:r w:rsidR="00095AD8" w:rsidRPr="0015665C">
        <w:t>A</w:t>
      </w:r>
      <w:r w:rsidR="00095AD8">
        <w:t xml:space="preserve">) </w:t>
      </w:r>
      <w:r w:rsidR="00095AD8" w:rsidRPr="00095AD8">
        <w:rPr>
          <w:b w:val="0"/>
        </w:rPr>
        <w:t>Input data (buildings, roads, elevation) for Al-</w:t>
      </w:r>
      <w:proofErr w:type="spellStart"/>
      <w:r w:rsidR="00095AD8" w:rsidRPr="00095AD8">
        <w:rPr>
          <w:b w:val="0"/>
        </w:rPr>
        <w:t>Yazidiyah</w:t>
      </w:r>
      <w:proofErr w:type="spellEnd"/>
      <w:r w:rsidR="00095AD8" w:rsidRPr="00095AD8">
        <w:rPr>
          <w:b w:val="0"/>
        </w:rPr>
        <w:t xml:space="preserve"> and </w:t>
      </w:r>
      <w:r w:rsidR="00095AD8" w:rsidRPr="00095AD8">
        <w:t>(B)</w:t>
      </w:r>
      <w:r w:rsidR="00095AD8" w:rsidRPr="00095AD8">
        <w:rPr>
          <w:b w:val="0"/>
        </w:rPr>
        <w:t xml:space="preserve"> scenarios S1 &amp; S2 representation for Al-</w:t>
      </w:r>
      <w:proofErr w:type="spellStart"/>
      <w:r w:rsidR="00095AD8" w:rsidRPr="00095AD8">
        <w:rPr>
          <w:b w:val="0"/>
        </w:rPr>
        <w:t>Yazidiyah</w:t>
      </w:r>
      <w:proofErr w:type="spellEnd"/>
      <w:r w:rsidR="00095AD8" w:rsidRPr="00095AD8">
        <w:rPr>
          <w:b w:val="0"/>
        </w:rPr>
        <w:t>. For S1 the WWTP would be replaced by a pumping station connected to the WWTP in Al-Salt.</w:t>
      </w:r>
    </w:p>
    <w:p w14:paraId="01E38F6C" w14:textId="77777777" w:rsidR="00095AD8" w:rsidRDefault="00095AD8" w:rsidP="002B4A5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96"/>
      </w:tblGrid>
      <w:tr w:rsidR="00095AD8" w14:paraId="0DADA677" w14:textId="77777777" w:rsidTr="00095AD8">
        <w:tc>
          <w:tcPr>
            <w:tcW w:w="2496" w:type="pct"/>
          </w:tcPr>
          <w:p w14:paraId="010B3BE3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lastRenderedPageBreak/>
              <w:drawing>
                <wp:inline distT="0" distB="0" distL="0" distR="0" wp14:anchorId="785296D3" wp14:editId="1371222D">
                  <wp:extent cx="2724383" cy="235549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835" cy="2370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14:paraId="27053421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7638E632" wp14:editId="7FE401CC">
                  <wp:extent cx="2732845" cy="23628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33" cy="237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D8" w14:paraId="2AA09F93" w14:textId="77777777" w:rsidTr="00095AD8">
        <w:tc>
          <w:tcPr>
            <w:tcW w:w="2496" w:type="pct"/>
          </w:tcPr>
          <w:p w14:paraId="59D7E55A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504" w:type="pct"/>
          </w:tcPr>
          <w:p w14:paraId="4A86A624" w14:textId="77777777" w:rsidR="00095AD8" w:rsidRDefault="00095AD8" w:rsidP="00946410">
            <w:pPr>
              <w:spacing w:before="0"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</w:tr>
    </w:tbl>
    <w:p w14:paraId="52BEAF29" w14:textId="15BBE6B7" w:rsidR="00095AD8" w:rsidRPr="00095AD8" w:rsidRDefault="00946410" w:rsidP="00095AD8">
      <w:pPr>
        <w:pStyle w:val="Caption"/>
        <w:rPr>
          <w:b w:val="0"/>
          <w:i/>
        </w:rPr>
      </w:pPr>
      <w:r w:rsidRPr="00994A3D">
        <w:t xml:space="preserve">Supplementary </w:t>
      </w:r>
      <w:r w:rsidR="00095AD8" w:rsidRPr="00095AD8">
        <w:t>Figure X2 (A)</w:t>
      </w:r>
      <w:r w:rsidR="00095AD8" w:rsidRPr="00095AD8">
        <w:rPr>
          <w:b w:val="0"/>
        </w:rPr>
        <w:t xml:space="preserve"> Specific treatment cost vs. specific sewer length for on-site and a 500 PE WWTP </w:t>
      </w:r>
      <w:r w:rsidR="00095AD8" w:rsidRPr="00095AD8">
        <w:t>(B)</w:t>
      </w:r>
      <w:r w:rsidR="00095AD8" w:rsidRPr="00095AD8">
        <w:rPr>
          <w:b w:val="0"/>
        </w:rPr>
        <w:t xml:space="preserve"> Sewer length vs. building density plot with on-site threshold for Al </w:t>
      </w:r>
      <w:proofErr w:type="spellStart"/>
      <w:r w:rsidR="00095AD8" w:rsidRPr="00095AD8">
        <w:rPr>
          <w:b w:val="0"/>
        </w:rPr>
        <w:t>Mazarih</w:t>
      </w:r>
      <w:proofErr w:type="spellEnd"/>
      <w:r w:rsidR="00095AD8" w:rsidRPr="00095AD8">
        <w:rPr>
          <w:b w:val="0"/>
        </w:rPr>
        <w:t>.</w:t>
      </w:r>
    </w:p>
    <w:p w14:paraId="6C287083" w14:textId="77777777" w:rsidR="00095AD8" w:rsidRDefault="00095AD8" w:rsidP="002B4A57"/>
    <w:p w14:paraId="21DD85C5" w14:textId="77777777" w:rsidR="00095AD8" w:rsidRDefault="00095AD8" w:rsidP="00095AD8">
      <w:pPr>
        <w:jc w:val="both"/>
        <w:rPr>
          <w:rStyle w:val="CommentReference"/>
        </w:rPr>
      </w:pPr>
      <w:r>
        <w:rPr>
          <w:rFonts w:cs="Times New Roman"/>
          <w:noProof/>
          <w:szCs w:val="24"/>
        </w:rPr>
        <w:drawing>
          <wp:inline distT="0" distB="0" distL="0" distR="0" wp14:anchorId="1BF0CE8C" wp14:editId="0030A11D">
            <wp:extent cx="5364000" cy="3001982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ig_S2_S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30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907C" w14:textId="54EA512D" w:rsidR="00095AD8" w:rsidRPr="00095AD8" w:rsidRDefault="00946410" w:rsidP="00095AD8">
      <w:pPr>
        <w:pStyle w:val="Caption"/>
        <w:rPr>
          <w:rStyle w:val="CommentReference"/>
          <w:b w:val="0"/>
        </w:rPr>
      </w:pPr>
      <w:r w:rsidRPr="00994A3D">
        <w:t xml:space="preserve">Supplementary </w:t>
      </w:r>
      <w:r w:rsidR="00095AD8" w:rsidRPr="00095AD8">
        <w:t>Figure X3</w:t>
      </w:r>
      <w:r w:rsidR="00095AD8" w:rsidRPr="00095AD8">
        <w:rPr>
          <w:b w:val="0"/>
        </w:rPr>
        <w:t xml:space="preserve"> Cluster map for S3 in Al </w:t>
      </w:r>
      <w:proofErr w:type="spellStart"/>
      <w:r w:rsidR="00095AD8" w:rsidRPr="00095AD8">
        <w:rPr>
          <w:b w:val="0"/>
        </w:rPr>
        <w:t>Mazarih</w:t>
      </w:r>
      <w:proofErr w:type="spellEnd"/>
      <w:r w:rsidR="00095AD8" w:rsidRPr="00095AD8">
        <w:rPr>
          <w:b w:val="0"/>
        </w:rPr>
        <w:t xml:space="preserve">. All buildings outside the clusters use on-site treatment and </w:t>
      </w:r>
      <w:proofErr w:type="spellStart"/>
      <w:r w:rsidR="00095AD8" w:rsidRPr="00095AD8">
        <w:rPr>
          <w:b w:val="0"/>
        </w:rPr>
        <w:t>buidlings</w:t>
      </w:r>
      <w:proofErr w:type="spellEnd"/>
      <w:r w:rsidR="00095AD8" w:rsidRPr="00095AD8">
        <w:rPr>
          <w:b w:val="0"/>
        </w:rPr>
        <w:t xml:space="preserve"> within the five clusters are connected to a local sewer network and small WWTPs.</w:t>
      </w:r>
    </w:p>
    <w:p w14:paraId="57E67BC7" w14:textId="40276EEA" w:rsidR="00095AD8" w:rsidRDefault="00095AD8" w:rsidP="00095AD8">
      <w:pPr>
        <w:pStyle w:val="Heading2"/>
        <w:numPr>
          <w:ilvl w:val="0"/>
          <w:numId w:val="0"/>
        </w:numPr>
        <w:ind w:left="567" w:hanging="567"/>
      </w:pPr>
    </w:p>
    <w:p w14:paraId="47C99737" w14:textId="77777777" w:rsidR="00095AD8" w:rsidRPr="001B30EC" w:rsidRDefault="00095AD8" w:rsidP="00095AD8">
      <w:pPr>
        <w:jc w:val="both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6B9B0FA2" wp14:editId="36B3B928">
            <wp:extent cx="5732145" cy="32429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E2CA" w14:textId="7696856B" w:rsidR="00095AD8" w:rsidRDefault="00946410" w:rsidP="00095AD8">
      <w:pPr>
        <w:rPr>
          <w:rFonts w:cs="Times New Roman"/>
          <w:iCs/>
          <w:szCs w:val="24"/>
        </w:rPr>
      </w:pPr>
      <w:r w:rsidRPr="00946410">
        <w:rPr>
          <w:b/>
        </w:rPr>
        <w:t xml:space="preserve">Supplementary </w:t>
      </w:r>
      <w:r w:rsidR="00095AD8" w:rsidRPr="00946410">
        <w:rPr>
          <w:rFonts w:cs="Times New Roman"/>
          <w:b/>
          <w:iCs/>
          <w:szCs w:val="24"/>
        </w:rPr>
        <w:t>Figure</w:t>
      </w:r>
      <w:r w:rsidR="00095AD8" w:rsidRPr="00386215">
        <w:rPr>
          <w:rFonts w:cs="Times New Roman"/>
          <w:b/>
          <w:iCs/>
          <w:szCs w:val="24"/>
        </w:rPr>
        <w:t xml:space="preserve"> </w:t>
      </w:r>
      <w:r w:rsidR="00095AD8">
        <w:rPr>
          <w:rFonts w:cs="Times New Roman"/>
          <w:b/>
          <w:iCs/>
          <w:szCs w:val="24"/>
        </w:rPr>
        <w:t>X4</w:t>
      </w:r>
      <w:r w:rsidR="00095AD8" w:rsidRPr="00386215">
        <w:rPr>
          <w:rFonts w:cs="Times New Roman"/>
          <w:iCs/>
          <w:szCs w:val="24"/>
        </w:rPr>
        <w:t xml:space="preserve"> Total cost of the scenarios in </w:t>
      </w:r>
      <w:r w:rsidR="00095AD8">
        <w:rPr>
          <w:rFonts w:cs="Times New Roman"/>
          <w:iCs/>
          <w:szCs w:val="24"/>
        </w:rPr>
        <w:t>net present value (</w:t>
      </w:r>
      <w:r w:rsidR="00095AD8" w:rsidRPr="00386215">
        <w:rPr>
          <w:rFonts w:cs="Times New Roman"/>
          <w:iCs/>
          <w:szCs w:val="24"/>
        </w:rPr>
        <w:t>NPV</w:t>
      </w:r>
      <w:r w:rsidR="00095AD8">
        <w:rPr>
          <w:rFonts w:cs="Times New Roman"/>
          <w:iCs/>
          <w:szCs w:val="24"/>
        </w:rPr>
        <w:t>) per year for the maximum lifetime.</w:t>
      </w:r>
    </w:p>
    <w:p w14:paraId="43D6D6E2" w14:textId="23FE67B5" w:rsidR="00095AD8" w:rsidRDefault="00095AD8" w:rsidP="00095AD8"/>
    <w:p w14:paraId="184AE2E0" w14:textId="77777777" w:rsidR="00E55E0E" w:rsidRDefault="00E55E0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2688FC64" w14:textId="77777777" w:rsidR="0029442D" w:rsidRDefault="00946410" w:rsidP="00095AD8">
      <w:pPr>
        <w:rPr>
          <w:noProof/>
        </w:rPr>
      </w:pPr>
      <w:r w:rsidRPr="00946410">
        <w:rPr>
          <w:b/>
        </w:rPr>
        <w:lastRenderedPageBreak/>
        <w:t xml:space="preserve">Supplementary </w:t>
      </w:r>
      <w:r w:rsidR="00095AD8" w:rsidRPr="00946410">
        <w:rPr>
          <w:rFonts w:cs="Times New Roman"/>
          <w:b/>
          <w:szCs w:val="24"/>
        </w:rPr>
        <w:t>T</w:t>
      </w:r>
      <w:r w:rsidR="00095AD8" w:rsidRPr="00C814FE">
        <w:rPr>
          <w:rFonts w:cs="Times New Roman"/>
          <w:b/>
          <w:szCs w:val="24"/>
        </w:rPr>
        <w:t>able X1</w:t>
      </w:r>
      <w:r w:rsidR="00095AD8">
        <w:rPr>
          <w:rFonts w:cs="Times New Roman"/>
          <w:szCs w:val="24"/>
        </w:rPr>
        <w:t xml:space="preserve"> Cost items required for the economic scenario assessment. The individual cost items can be country specific or based international benchmark estimates.</w:t>
      </w:r>
      <w:r w:rsidR="009D7CC6" w:rsidRPr="009D7CC6">
        <w:rPr>
          <w:noProof/>
        </w:rPr>
        <w:t xml:space="preserve"> </w:t>
      </w:r>
    </w:p>
    <w:p w14:paraId="7B2F5894" w14:textId="4DB45995" w:rsidR="0029442D" w:rsidRDefault="0029442D" w:rsidP="00095AD8">
      <w:pPr>
        <w:rPr>
          <w:noProof/>
        </w:rPr>
      </w:pPr>
      <w:r w:rsidRPr="0029442D">
        <w:drawing>
          <wp:inline distT="0" distB="0" distL="0" distR="0" wp14:anchorId="162AAFF7" wp14:editId="1ABE239C">
            <wp:extent cx="6208395" cy="6299015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036E81CB" w:rsidR="00DE23E8" w:rsidRDefault="00B9644D" w:rsidP="00D74D29">
      <w:pPr>
        <w:pStyle w:val="ListParagraph"/>
        <w:numPr>
          <w:ilvl w:val="0"/>
          <w:numId w:val="0"/>
        </w:numPr>
      </w:pPr>
      <w:r>
        <w:t>*</w:t>
      </w:r>
      <w:r w:rsidR="00D74D29">
        <w:t>Cost ranges and assumptions are based on data from Jordan and Oman.</w:t>
      </w:r>
    </w:p>
    <w:p w14:paraId="4E46427A" w14:textId="77777777" w:rsidR="0029442D" w:rsidRDefault="0029442D" w:rsidP="00D74D29">
      <w:pPr>
        <w:pStyle w:val="ListParagraph"/>
        <w:numPr>
          <w:ilvl w:val="0"/>
          <w:numId w:val="0"/>
        </w:numPr>
      </w:pPr>
    </w:p>
    <w:p w14:paraId="78711BB5" w14:textId="77777777" w:rsidR="0029442D" w:rsidRDefault="0029442D" w:rsidP="00D74D29">
      <w:pPr>
        <w:pStyle w:val="ListParagraph"/>
        <w:numPr>
          <w:ilvl w:val="0"/>
          <w:numId w:val="0"/>
        </w:numPr>
      </w:pPr>
    </w:p>
    <w:p w14:paraId="2640E358" w14:textId="77777777" w:rsidR="0029442D" w:rsidRDefault="0029442D" w:rsidP="00D74D29">
      <w:pPr>
        <w:pStyle w:val="ListParagraph"/>
        <w:numPr>
          <w:ilvl w:val="0"/>
          <w:numId w:val="0"/>
        </w:numPr>
      </w:pPr>
    </w:p>
    <w:p w14:paraId="225E72B9" w14:textId="77777777" w:rsidR="0029442D" w:rsidRDefault="0029442D" w:rsidP="00D74D29">
      <w:pPr>
        <w:pStyle w:val="ListParagraph"/>
        <w:numPr>
          <w:ilvl w:val="0"/>
          <w:numId w:val="0"/>
        </w:numPr>
      </w:pPr>
      <w:bookmarkStart w:id="0" w:name="_GoBack"/>
      <w:bookmarkEnd w:id="0"/>
    </w:p>
    <w:p w14:paraId="5B1CE270" w14:textId="26F60A1E" w:rsidR="00BE4096" w:rsidRPr="00176F94" w:rsidRDefault="00176F94" w:rsidP="00176F94">
      <w:pPr>
        <w:tabs>
          <w:tab w:val="left" w:pos="2600"/>
        </w:tabs>
      </w:pPr>
      <w:r w:rsidRPr="00176F94">
        <w:rPr>
          <w:b/>
        </w:rPr>
        <w:lastRenderedPageBreak/>
        <w:t>Supplementary Table X2</w:t>
      </w:r>
      <w:r w:rsidRPr="00176F94">
        <w:rPr>
          <w:b/>
        </w:rPr>
        <w:tab/>
      </w:r>
      <w:r>
        <w:rPr>
          <w:b/>
        </w:rPr>
        <w:t xml:space="preserve"> </w:t>
      </w:r>
      <w:r w:rsidRPr="00176F94">
        <w:t>Summary</w:t>
      </w:r>
      <w:r>
        <w:rPr>
          <w:b/>
        </w:rPr>
        <w:t xml:space="preserve"> </w:t>
      </w:r>
      <w:r>
        <w:t>net present value</w:t>
      </w:r>
      <w:r w:rsidR="00A72904">
        <w:t xml:space="preserve"> (in Million USD)</w:t>
      </w:r>
      <w:r w:rsidR="00EC62A5">
        <w:t xml:space="preserve"> of the cost</w:t>
      </w:r>
      <w:r>
        <w:t xml:space="preserve"> components involved in the scenarios divided in investment and reinvestment (inv.) and operational (O&amp;M) costs.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170"/>
        <w:gridCol w:w="1260"/>
        <w:gridCol w:w="990"/>
        <w:gridCol w:w="900"/>
        <w:gridCol w:w="900"/>
        <w:gridCol w:w="900"/>
        <w:gridCol w:w="720"/>
        <w:gridCol w:w="720"/>
        <w:gridCol w:w="607"/>
        <w:gridCol w:w="700"/>
        <w:gridCol w:w="607"/>
        <w:gridCol w:w="700"/>
      </w:tblGrid>
      <w:tr w:rsidR="00176F94" w:rsidRPr="00963CF3" w14:paraId="3E95696B" w14:textId="77777777" w:rsidTr="00176F94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5E9" w14:textId="77777777" w:rsidR="00963CF3" w:rsidRPr="00963CF3" w:rsidRDefault="00963CF3" w:rsidP="00176F9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105" w14:textId="77777777" w:rsidR="00963CF3" w:rsidRPr="00963CF3" w:rsidRDefault="00963CF3" w:rsidP="00176F9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D3CD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4A65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652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BA0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B248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S5</w:t>
            </w:r>
          </w:p>
        </w:tc>
      </w:tr>
      <w:tr w:rsidR="00963CF3" w:rsidRPr="00963CF3" w14:paraId="31F09A7A" w14:textId="77777777" w:rsidTr="00176F9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11FB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7113" w14:textId="77777777" w:rsidR="00963CF3" w:rsidRPr="00963CF3" w:rsidRDefault="00963CF3" w:rsidP="00176F9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A3CB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Inv.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7DE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O&amp;M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15D6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Inv.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8EA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O&amp;M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7E2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Inv.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83C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O&amp;M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2830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Inv.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A95AC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O&amp;M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D853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Inv.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D71F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O&amp;M</w:t>
            </w:r>
          </w:p>
        </w:tc>
      </w:tr>
      <w:tr w:rsidR="00963CF3" w:rsidRPr="00963CF3" w14:paraId="0CFB0270" w14:textId="77777777" w:rsidTr="00176F94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878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Al-</w:t>
            </w:r>
            <w:proofErr w:type="spellStart"/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Yazidiyah</w:t>
            </w:r>
            <w:proofErr w:type="spellEnd"/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, Jordan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EB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Sewer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F46" w14:textId="3419622E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883" w14:textId="1ECA98F0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D963" w14:textId="5D59EB81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5F6" w14:textId="5DAC962B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6E4" w14:textId="314E70D9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195" w14:textId="64B67B58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1.20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8236" w14:textId="677BF046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41F" w14:textId="3FB531C8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D12" w14:textId="2F758F5C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423" w14:textId="25C8262C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963CF3" w:rsidRPr="00963CF3" w14:paraId="72A4E14D" w14:textId="77777777" w:rsidTr="00176F94">
        <w:trPr>
          <w:trHeight w:val="288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92F7F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E670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Pumping station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596" w14:textId="16F50FDA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85F" w14:textId="5B92B3D3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D26" w14:textId="58D6AF21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F37" w14:textId="677066B3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499" w14:textId="2CDAF836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6B3" w14:textId="76ACDD5D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0E9" w14:textId="206135CD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0BF" w14:textId="2A57B4E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868" w14:textId="511D5B4C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063" w14:textId="4BCE709E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963CF3" w:rsidRPr="00963CF3" w14:paraId="5318B865" w14:textId="77777777" w:rsidTr="00176F94">
        <w:trPr>
          <w:trHeight w:val="288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6430EC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A195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Treatment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48E6C" w14:textId="623364EF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8F0A" w14:textId="5CD8CA72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4940" w14:textId="10DCEFDF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F530" w14:textId="0221AD57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2394" w14:textId="60990133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C965" w14:textId="0BD437A8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2.30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FF6F" w14:textId="16EF754E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013B4" w14:textId="2B0C0F7B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93B8" w14:textId="7E73D874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BD95" w14:textId="6C9E106C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20.2</w:t>
            </w:r>
          </w:p>
        </w:tc>
      </w:tr>
      <w:tr w:rsidR="00963CF3" w:rsidRPr="00963CF3" w14:paraId="7AEFAEE6" w14:textId="77777777" w:rsidTr="00176F94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E87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Al-</w:t>
            </w:r>
            <w:proofErr w:type="spellStart"/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Mazarih</w:t>
            </w:r>
            <w:proofErr w:type="spellEnd"/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, Oman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AA33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Sewer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BCA" w14:textId="33B61C32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87E" w14:textId="67488A9C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0AA" w14:textId="7861E9B8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7A7" w14:textId="20BA162E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1FE" w14:textId="5CC46B70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77EF" w14:textId="0B80AEB0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836" w14:textId="22B8957D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807" w14:textId="55CFF2A2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1A2" w14:textId="7007E650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EE3" w14:textId="0BC657F5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963CF3" w:rsidRPr="00963CF3" w14:paraId="6EDD99D7" w14:textId="77777777" w:rsidTr="00176F94">
        <w:trPr>
          <w:trHeight w:val="288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5B83F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B1E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Pumping station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FCC2" w14:textId="66FADA68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6AC" w14:textId="63C580CF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FF2" w14:textId="2300106D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7E0" w14:textId="3F354CE1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8B8" w14:textId="11D62075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DB6" w14:textId="6C6952EB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40E" w14:textId="2E29A2E6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4C2" w14:textId="56CE1F34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EBD" w14:textId="7A0CC7D5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7D1" w14:textId="5FDCB439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963CF3" w:rsidRPr="00963CF3" w14:paraId="53A3DFCD" w14:textId="77777777" w:rsidTr="00176F94">
        <w:trPr>
          <w:trHeight w:val="288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3C0CB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16F7" w14:textId="77777777" w:rsidR="00963CF3" w:rsidRPr="00963CF3" w:rsidRDefault="00963CF3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63CF3">
              <w:rPr>
                <w:rFonts w:ascii="Calibri" w:eastAsia="Times New Roman" w:hAnsi="Calibri" w:cs="Calibri"/>
                <w:color w:val="000000"/>
                <w:sz w:val="22"/>
              </w:rPr>
              <w:t>Treatment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FF2A" w14:textId="238CEAC3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A46E" w14:textId="3C6DB7D4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F651" w14:textId="14FFB945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39B3" w14:textId="2C795342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4B4F" w14:textId="3962A180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1A40" w14:textId="340979FD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C92B" w14:textId="22B998CF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27C6" w14:textId="2A5F9677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B6C3" w14:textId="44055CB2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3CE5" w14:textId="54F76DC3" w:rsidR="00963CF3" w:rsidRPr="00963CF3" w:rsidRDefault="00176F94" w:rsidP="00176F9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10.5</w:t>
            </w:r>
          </w:p>
        </w:tc>
      </w:tr>
    </w:tbl>
    <w:p w14:paraId="7BD0EC45" w14:textId="77777777" w:rsidR="00963CF3" w:rsidRDefault="00963CF3" w:rsidP="00BE4096">
      <w:pPr>
        <w:pStyle w:val="ListParagraph"/>
        <w:numPr>
          <w:ilvl w:val="0"/>
          <w:numId w:val="0"/>
        </w:numPr>
      </w:pPr>
    </w:p>
    <w:p w14:paraId="0E437C74" w14:textId="4672D0FE" w:rsidR="00BE4CE1" w:rsidRPr="001549D3" w:rsidRDefault="00BE4CE1" w:rsidP="00E55E0E"/>
    <w:sectPr w:rsidR="00BE4CE1" w:rsidRPr="001549D3" w:rsidSect="0093429D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26B2" w14:textId="77777777" w:rsidR="000A4C03" w:rsidRDefault="000A4C03" w:rsidP="00117666">
      <w:pPr>
        <w:spacing w:after="0"/>
      </w:pPr>
      <w:r>
        <w:separator/>
      </w:r>
    </w:p>
  </w:endnote>
  <w:endnote w:type="continuationSeparator" w:id="0">
    <w:p w14:paraId="16B9EBE3" w14:textId="77777777" w:rsidR="000A4C03" w:rsidRDefault="000A4C0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944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9442D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944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9442D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A1D8" w14:textId="77777777" w:rsidR="000A4C03" w:rsidRDefault="000A4C03" w:rsidP="00117666">
      <w:pPr>
        <w:spacing w:after="0"/>
      </w:pPr>
      <w:r>
        <w:separator/>
      </w:r>
    </w:p>
  </w:footnote>
  <w:footnote w:type="continuationSeparator" w:id="0">
    <w:p w14:paraId="7878F85F" w14:textId="77777777" w:rsidR="000A4C03" w:rsidRDefault="000A4C0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C36B0"/>
    <w:multiLevelType w:val="hybridMultilevel"/>
    <w:tmpl w:val="B834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242D"/>
    <w:rsid w:val="0001436A"/>
    <w:rsid w:val="00034304"/>
    <w:rsid w:val="00035434"/>
    <w:rsid w:val="00052A14"/>
    <w:rsid w:val="00077D53"/>
    <w:rsid w:val="0008298F"/>
    <w:rsid w:val="00090768"/>
    <w:rsid w:val="00095AD8"/>
    <w:rsid w:val="000A4C03"/>
    <w:rsid w:val="00105FD9"/>
    <w:rsid w:val="00117666"/>
    <w:rsid w:val="001549D3"/>
    <w:rsid w:val="0015747E"/>
    <w:rsid w:val="00160065"/>
    <w:rsid w:val="00176F94"/>
    <w:rsid w:val="00177D84"/>
    <w:rsid w:val="001B47DE"/>
    <w:rsid w:val="00234839"/>
    <w:rsid w:val="00267D18"/>
    <w:rsid w:val="00274347"/>
    <w:rsid w:val="002868E2"/>
    <w:rsid w:val="002869C3"/>
    <w:rsid w:val="002936E4"/>
    <w:rsid w:val="0029442D"/>
    <w:rsid w:val="002B4A57"/>
    <w:rsid w:val="002C74CA"/>
    <w:rsid w:val="002E094D"/>
    <w:rsid w:val="003123F4"/>
    <w:rsid w:val="003544FB"/>
    <w:rsid w:val="003920E8"/>
    <w:rsid w:val="003D2F2D"/>
    <w:rsid w:val="00401590"/>
    <w:rsid w:val="00447801"/>
    <w:rsid w:val="00452E9C"/>
    <w:rsid w:val="004735C8"/>
    <w:rsid w:val="00486AD8"/>
    <w:rsid w:val="004947A6"/>
    <w:rsid w:val="004961FF"/>
    <w:rsid w:val="00517A89"/>
    <w:rsid w:val="005250F2"/>
    <w:rsid w:val="00542CA9"/>
    <w:rsid w:val="00593EEA"/>
    <w:rsid w:val="005A5EEE"/>
    <w:rsid w:val="006375C7"/>
    <w:rsid w:val="00654E8F"/>
    <w:rsid w:val="00660D05"/>
    <w:rsid w:val="0067498A"/>
    <w:rsid w:val="006820B1"/>
    <w:rsid w:val="006B7D14"/>
    <w:rsid w:val="00701727"/>
    <w:rsid w:val="0070566C"/>
    <w:rsid w:val="00714C50"/>
    <w:rsid w:val="00725A7D"/>
    <w:rsid w:val="00733FE7"/>
    <w:rsid w:val="007501BE"/>
    <w:rsid w:val="00790BB3"/>
    <w:rsid w:val="007B09E5"/>
    <w:rsid w:val="007C206C"/>
    <w:rsid w:val="007E6A8F"/>
    <w:rsid w:val="00815A1F"/>
    <w:rsid w:val="00817DD6"/>
    <w:rsid w:val="0083759F"/>
    <w:rsid w:val="00885156"/>
    <w:rsid w:val="009151AA"/>
    <w:rsid w:val="0093429D"/>
    <w:rsid w:val="00943573"/>
    <w:rsid w:val="00946410"/>
    <w:rsid w:val="00952E32"/>
    <w:rsid w:val="00963CF3"/>
    <w:rsid w:val="00964134"/>
    <w:rsid w:val="00970F7D"/>
    <w:rsid w:val="00981D0F"/>
    <w:rsid w:val="00990DF1"/>
    <w:rsid w:val="00994A3D"/>
    <w:rsid w:val="009C2B12"/>
    <w:rsid w:val="009D7CC6"/>
    <w:rsid w:val="00A174D9"/>
    <w:rsid w:val="00A52749"/>
    <w:rsid w:val="00A53C33"/>
    <w:rsid w:val="00A72904"/>
    <w:rsid w:val="00AA4D24"/>
    <w:rsid w:val="00AB6715"/>
    <w:rsid w:val="00B1671E"/>
    <w:rsid w:val="00B25EB8"/>
    <w:rsid w:val="00B3428B"/>
    <w:rsid w:val="00B37F4D"/>
    <w:rsid w:val="00B56491"/>
    <w:rsid w:val="00B9644D"/>
    <w:rsid w:val="00BE109F"/>
    <w:rsid w:val="00BE4096"/>
    <w:rsid w:val="00BE4CE1"/>
    <w:rsid w:val="00C52A7B"/>
    <w:rsid w:val="00C56BAF"/>
    <w:rsid w:val="00C679AA"/>
    <w:rsid w:val="00C75972"/>
    <w:rsid w:val="00CB3862"/>
    <w:rsid w:val="00CD066B"/>
    <w:rsid w:val="00CE4FEE"/>
    <w:rsid w:val="00D060CF"/>
    <w:rsid w:val="00D74D29"/>
    <w:rsid w:val="00DB59C3"/>
    <w:rsid w:val="00DC259A"/>
    <w:rsid w:val="00DE23E8"/>
    <w:rsid w:val="00E02668"/>
    <w:rsid w:val="00E52377"/>
    <w:rsid w:val="00E537AD"/>
    <w:rsid w:val="00E55E0E"/>
    <w:rsid w:val="00E64E17"/>
    <w:rsid w:val="00E72F54"/>
    <w:rsid w:val="00E866C9"/>
    <w:rsid w:val="00EA3D3C"/>
    <w:rsid w:val="00EC090A"/>
    <w:rsid w:val="00EC62A5"/>
    <w:rsid w:val="00ED20B5"/>
    <w:rsid w:val="00EF77F2"/>
    <w:rsid w:val="00F46900"/>
    <w:rsid w:val="00F61D89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6316B-5E8F-4423-818B-369F0C56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Ganbaatar Khurelbaatar kurelbaa</cp:lastModifiedBy>
  <cp:revision>2</cp:revision>
  <cp:lastPrinted>2013-10-03T12:51:00Z</cp:lastPrinted>
  <dcterms:created xsi:type="dcterms:W3CDTF">2021-04-22T22:01:00Z</dcterms:created>
  <dcterms:modified xsi:type="dcterms:W3CDTF">2021-04-22T22:01:00Z</dcterms:modified>
</cp:coreProperties>
</file>