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19" w:rsidRPr="00DF19D5" w:rsidRDefault="00FC5219" w:rsidP="00FC5219">
      <w:pPr>
        <w:spacing w:line="360" w:lineRule="auto"/>
        <w:jc w:val="both"/>
        <w:rPr>
          <w:rStyle w:val="eop"/>
          <w:i/>
          <w:lang w:val="en-US"/>
        </w:rPr>
      </w:pPr>
      <w:r w:rsidRPr="00DF19D5">
        <w:rPr>
          <w:i/>
          <w:lang w:val="en-US"/>
        </w:rPr>
        <w:t xml:space="preserve">Table </w:t>
      </w:r>
      <w:r>
        <w:rPr>
          <w:i/>
          <w:lang w:val="en-US"/>
        </w:rPr>
        <w:t>S</w:t>
      </w:r>
      <w:r w:rsidRPr="00DF19D5">
        <w:rPr>
          <w:i/>
          <w:lang w:val="en-US"/>
        </w:rPr>
        <w:t>1. Overview of the reviewed papers: coding types and frequency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9"/>
        <w:gridCol w:w="2842"/>
        <w:gridCol w:w="4585"/>
      </w:tblGrid>
      <w:tr w:rsidR="00FC5219" w:rsidRPr="00DF19D5" w:rsidTr="0062412B">
        <w:trPr>
          <w:trHeight w:val="312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  <w:smallCaps/>
              </w:rPr>
            </w:pPr>
            <w:r w:rsidRPr="00DF19D5">
              <w:rPr>
                <w:rStyle w:val="eop"/>
                <w:b/>
                <w:smallCaps/>
              </w:rPr>
              <w:t>Types of Usage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  <w:smallCaps/>
              </w:rPr>
              <w:t>Digital competence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  <w:smallCaps/>
              </w:rPr>
              <w:t>Digital literacy</w:t>
            </w:r>
          </w:p>
        </w:tc>
      </w:tr>
      <w:tr w:rsidR="00FC5219" w:rsidRPr="00DF19D5" w:rsidTr="0062412B">
        <w:trPr>
          <w:trHeight w:val="283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Fonts w:eastAsia="Times New Roman"/>
                <w:b/>
              </w:rPr>
              <w:t>1. Mention only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3 (11%)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27 (34%)</w:t>
            </w:r>
          </w:p>
        </w:tc>
      </w:tr>
      <w:tr w:rsidR="00FC5219" w:rsidRPr="00DF19D5" w:rsidTr="0062412B">
        <w:trPr>
          <w:trHeight w:val="1919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>Masats and Dooly 2011; Dodge 2013; Garcia-Gutierrez et al. 2017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>Inoue et al. 1997; Jones and Lea 2008; Prendes et al. 2010; Savin-Baden et al. 2010; Lea and Jones 2011; Pinto 2012; Neira-Piñeiro et al. 2013; Osborne et al. 2013; Habib et al. 2014; Kennedy 2014; Liyanagunawardena et al. 2014; Magrino and Sorrell 2014; Scott et al. 2014; Barnes 2015; Brooks 2015; Gourlay 2015; Hori et al. 2015; Kivunja 2015; Murray and Perez 2015; Mar-Molinero and Lewis 2016; Power and Kannara 2016; Schmidt Hanbidge and Sanderson 2016; Smith et al. 2016; Timmis et al. 2016; Fombona et al. 2017; Kelsey and Uytterhoeven 2017; Kolle 2017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  <w:r w:rsidRPr="00DF19D5">
              <w:rPr>
                <w:rFonts w:eastAsia="Times New Roman"/>
                <w:b/>
              </w:rPr>
              <w:t>2. Use without defining or reference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5 (18%)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15 (19%)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>Biel et al. 2016; Cazco et al. 2016; Roushan et al. 2016; Vazquez-Cano et al. 2016; Barbas et al. 2017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>Powel 2002; Sinka 2006; Braga 2007; Barlow-Jones and van der Westhuizen 2011; Bhatti et al. 2011; McKendry 2012; Alvarez 2013; Buchanan et al. 2013; Mirriah et al. 2015; Altinay et al. 2016; Harper 2016; Peisachovich et al. 2016; Ungerer 2016; Carl and Strydom 2017; Di Lauro and Johinke 2017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Fonts w:eastAsia="Times New Roman"/>
                <w:b/>
              </w:rPr>
              <w:t>3. Define with reference to policy document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9 (32%)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8 (10%)</w:t>
            </w:r>
          </w:p>
        </w:tc>
      </w:tr>
      <w:tr w:rsidR="00FC5219" w:rsidRPr="00DF19D5" w:rsidTr="0062412B">
        <w:trPr>
          <w:trHeight w:val="5025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t>Lindroth and Bergquist 2010; Torres-Coronas and Vidal-Blasco 2011; Cinque and Bortoluzzi, 2013; Pérez-Mateo et al. 2014; Mattila 2015; Ribeiro et al. 2015; Torres-Coronas and Vidal-Blasco 2015; Moncada Linares et al. 2016; Guzman-Simon et al. 2017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 xml:space="preserve">Littlejohn et al. 2012; Covey 2013; </w:t>
            </w:r>
            <w:r w:rsidRPr="00DF19D5">
              <w:t>Istance and Kools 2013</w:t>
            </w:r>
            <w:r w:rsidRPr="00DF19D5">
              <w:rPr>
                <w:rStyle w:val="eop"/>
              </w:rPr>
              <w:t xml:space="preserve">; </w:t>
            </w:r>
            <w:r w:rsidRPr="00DF19D5">
              <w:t>Bell and Secker 2014; Crearie 2016; English 2016; Pates and Sumner 2016; Cronin 2017</w:t>
            </w:r>
          </w:p>
        </w:tc>
      </w:tr>
      <w:tr w:rsidR="00FC5219" w:rsidRPr="00DF19D5" w:rsidTr="0062412B">
        <w:trPr>
          <w:trHeight w:val="343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Fonts w:eastAsia="Times New Roman"/>
                <w:b/>
              </w:rPr>
              <w:t>4. Define with reference to research and policy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5 (18%)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6 (8%)</w:t>
            </w:r>
          </w:p>
        </w:tc>
      </w:tr>
      <w:tr w:rsidR="00FC5219" w:rsidRPr="00DF19D5" w:rsidTr="0062412B">
        <w:trPr>
          <w:trHeight w:val="343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 xml:space="preserve">Morellato 2014; Mengual-Andres et al. 2016; </w:t>
            </w:r>
            <w:r w:rsidRPr="00DF19D5">
              <w:t>Challinor et al. 2017; From 2017; Khan and Bhatti 2017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t>Parvathamma and Pattar 2013; Radovanovic et al. 2015; Bancroft 2016; Phuapan et al. 2016; Kuhn 2017; Tuamsuk and Subramaniam 2017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Fonts w:eastAsia="Times New Roman"/>
                <w:b/>
              </w:rPr>
              <w:t>5. Define with reference to research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3 (11%)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19 (24%)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 xml:space="preserve">Scuotto 2013; </w:t>
            </w:r>
            <w:r w:rsidRPr="00DF19D5">
              <w:t>Tømte et al. 2015; Cazco 2016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t xml:space="preserve">Goodfellow 2011; Kajee and Balfour 2011; Joosten et al. 2012; Machin-Mastromatteo 2012; Gourlayet al. 2013; Hall et al. 2013; Hilton 2013; Tan 2013; Bennett 2014; De Wet 2014; Gachago 2014; Jefferies 2016; Novakovich 2016; Tang and Chaw 2016; Traxler and Lally 2016; Chan et al. 2017; </w:t>
            </w:r>
            <w:r w:rsidRPr="00DF19D5">
              <w:lastRenderedPageBreak/>
              <w:t>Coldwell-Neilson 2017; Mishra et al. 2017; Roche 2017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Fonts w:eastAsia="Times New Roman"/>
                <w:b/>
              </w:rPr>
              <w:lastRenderedPageBreak/>
              <w:t>6. Discuss or develop definition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3 (11%)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4 (5%)</w:t>
            </w:r>
          </w:p>
        </w:tc>
      </w:tr>
      <w:tr w:rsidR="00FC5219" w:rsidRPr="00DF19D5" w:rsidTr="0062412B">
        <w:trPr>
          <w:trHeight w:val="427"/>
        </w:trPr>
        <w:tc>
          <w:tcPr>
            <w:tcW w:w="1122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>Krumsvik 2014; Castaño-Muñoz et al. 2017; Tsankov and Damyanov 2017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FC5219" w:rsidRPr="00DF19D5" w:rsidRDefault="00FC5219" w:rsidP="0062412B">
            <w:pPr>
              <w:spacing w:line="360" w:lineRule="auto"/>
              <w:rPr>
                <w:rStyle w:val="eop"/>
              </w:rPr>
            </w:pPr>
            <w:r w:rsidRPr="00DF19D5">
              <w:rPr>
                <w:rStyle w:val="eop"/>
              </w:rPr>
              <w:t xml:space="preserve">Kenton 2010; </w:t>
            </w:r>
            <w:r w:rsidRPr="00DF19D5">
              <w:t xml:space="preserve">Lea 2013; </w:t>
            </w:r>
            <w:r w:rsidRPr="00DF19D5">
              <w:rPr>
                <w:rStyle w:val="eop"/>
              </w:rPr>
              <w:t>Stewart 2013; Stordy 2015</w:t>
            </w:r>
          </w:p>
        </w:tc>
      </w:tr>
      <w:tr w:rsidR="00FC5219" w:rsidRPr="00DF19D5" w:rsidTr="0062412B">
        <w:trPr>
          <w:trHeight w:val="295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jc w:val="right"/>
              <w:rPr>
                <w:rFonts w:eastAsia="Times New Roman"/>
                <w:b/>
                <w:smallCaps/>
              </w:rPr>
            </w:pPr>
            <w:r w:rsidRPr="00DF19D5">
              <w:rPr>
                <w:rFonts w:eastAsia="Times New Roman"/>
                <w:b/>
                <w:smallCaps/>
              </w:rPr>
              <w:t>Total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28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5219" w:rsidRPr="00DF19D5" w:rsidRDefault="00FC5219" w:rsidP="0062412B">
            <w:pPr>
              <w:spacing w:line="360" w:lineRule="auto"/>
              <w:rPr>
                <w:rStyle w:val="eop"/>
                <w:b/>
              </w:rPr>
            </w:pPr>
            <w:r w:rsidRPr="00DF19D5">
              <w:rPr>
                <w:rStyle w:val="eop"/>
                <w:b/>
              </w:rPr>
              <w:t>79</w:t>
            </w:r>
          </w:p>
        </w:tc>
      </w:tr>
    </w:tbl>
    <w:p w:rsidR="003B6AC3" w:rsidRDefault="00FC5219"/>
    <w:sectPr w:rsidR="003B6AC3" w:rsidSect="00D7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219"/>
    <w:rsid w:val="001B7A56"/>
    <w:rsid w:val="004C3847"/>
    <w:rsid w:val="00D73D61"/>
    <w:rsid w:val="00FC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19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FC5219"/>
  </w:style>
  <w:style w:type="table" w:styleId="TableGrid">
    <w:name w:val="Table Grid"/>
    <w:basedOn w:val="TableNormal"/>
    <w:uiPriority w:val="39"/>
    <w:rsid w:val="00FC521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29.1.2017</dc:creator>
  <cp:lastModifiedBy>intel 29.1.2017</cp:lastModifiedBy>
  <cp:revision>1</cp:revision>
  <dcterms:created xsi:type="dcterms:W3CDTF">2018-10-20T17:57:00Z</dcterms:created>
  <dcterms:modified xsi:type="dcterms:W3CDTF">2018-10-20T18:00:00Z</dcterms:modified>
</cp:coreProperties>
</file>