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A9E3D" w14:textId="77777777" w:rsidR="008A59FB" w:rsidRDefault="008A59FB" w:rsidP="008A59FB">
      <w:pPr>
        <w:widowControl w:val="0"/>
        <w:pBdr>
          <w:top w:val="nil"/>
          <w:left w:val="nil"/>
          <w:bottom w:val="nil"/>
          <w:right w:val="nil"/>
          <w:between w:val="nil"/>
        </w:pBdr>
        <w:spacing w:after="0" w:line="276" w:lineRule="auto"/>
        <w:ind w:left="480" w:hanging="480"/>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Supplementary Figures</w:t>
      </w:r>
    </w:p>
    <w:p w14:paraId="0E855F35" w14:textId="77777777" w:rsidR="008A59FB" w:rsidRDefault="008A59FB" w:rsidP="008A59F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p w14:paraId="2DA22DF3" w14:textId="77777777" w:rsidR="008A59FB" w:rsidRDefault="008A59FB" w:rsidP="008A59F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3D04F61B" wp14:editId="02624CCB">
            <wp:extent cx="5731200" cy="4991100"/>
            <wp:effectExtent l="0" t="0" r="0" b="0"/>
            <wp:docPr id="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6"/>
                    <a:srcRect/>
                    <a:stretch>
                      <a:fillRect/>
                    </a:stretch>
                  </pic:blipFill>
                  <pic:spPr>
                    <a:xfrm>
                      <a:off x="0" y="0"/>
                      <a:ext cx="5731200" cy="4991100"/>
                    </a:xfrm>
                    <a:prstGeom prst="rect">
                      <a:avLst/>
                    </a:prstGeom>
                    <a:ln/>
                  </pic:spPr>
                </pic:pic>
              </a:graphicData>
            </a:graphic>
          </wp:inline>
        </w:drawing>
      </w:r>
    </w:p>
    <w:p w14:paraId="41C997DF" w14:textId="77777777" w:rsidR="008A59FB" w:rsidRDefault="008A59FB" w:rsidP="008623FC">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 S1. Proportion of reads preserved after quality filtering (a), chimera checking (b), and selection of bacterial reads (c)  for each study. All data is presented as a percentage of the number of reads originally recovered from public databases Additional information for each study is found in Supplementary Table S1.  </w:t>
      </w:r>
    </w:p>
    <w:p w14:paraId="6DD4229F" w14:textId="77777777" w:rsidR="008A59FB" w:rsidRDefault="008A59FB" w:rsidP="008A59F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p w14:paraId="7E411B14" w14:textId="77777777" w:rsidR="008A59FB" w:rsidRDefault="008A59FB" w:rsidP="008A59FB">
      <w:pPr>
        <w:widowControl w:val="0"/>
        <w:spacing w:after="0" w:line="276" w:lineRule="auto"/>
        <w:ind w:left="48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114300" distB="114300" distL="114300" distR="114300" wp14:anchorId="1028B934" wp14:editId="0555AEE0">
            <wp:extent cx="5731200" cy="3403600"/>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a:stretch>
                      <a:fillRect/>
                    </a:stretch>
                  </pic:blipFill>
                  <pic:spPr>
                    <a:xfrm>
                      <a:off x="0" y="0"/>
                      <a:ext cx="5731200" cy="3403600"/>
                    </a:xfrm>
                    <a:prstGeom prst="rect">
                      <a:avLst/>
                    </a:prstGeom>
                    <a:ln/>
                  </pic:spPr>
                </pic:pic>
              </a:graphicData>
            </a:graphic>
          </wp:inline>
        </w:drawing>
      </w:r>
    </w:p>
    <w:p w14:paraId="22B8CF12" w14:textId="77777777" w:rsidR="008A59FB" w:rsidRDefault="008A59FB" w:rsidP="008623FC">
      <w:pPr>
        <w:widowControl w:val="0"/>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 S2. Distribution of individuals included in this study. Samples were collected from studies conducted in the USA (Chicago, Jackson, Nashville, New York City, Philadelphia, and San Diego), Spain (Alicante), France (Paris), and China (Guangdong, Shanghai, and Wuhan). Yellow dots indicate the locations from which samples were obtained. </w:t>
      </w:r>
    </w:p>
    <w:p w14:paraId="26ECA24F" w14:textId="77777777" w:rsidR="008A59FB" w:rsidRDefault="008A59FB" w:rsidP="008A59F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114300" distB="114300" distL="114300" distR="114300" wp14:anchorId="43228D95" wp14:editId="1F9E6E8A">
            <wp:extent cx="5731200" cy="6362700"/>
            <wp:effectExtent l="0" t="0" r="0" b="0"/>
            <wp:docPr id="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8"/>
                    <a:srcRect t="47" b="46"/>
                    <a:stretch>
                      <a:fillRect/>
                    </a:stretch>
                  </pic:blipFill>
                  <pic:spPr>
                    <a:xfrm>
                      <a:off x="0" y="0"/>
                      <a:ext cx="5731200" cy="6362700"/>
                    </a:xfrm>
                    <a:prstGeom prst="rect">
                      <a:avLst/>
                    </a:prstGeom>
                    <a:ln/>
                  </pic:spPr>
                </pic:pic>
              </a:graphicData>
            </a:graphic>
          </wp:inline>
        </w:drawing>
      </w:r>
    </w:p>
    <w:p w14:paraId="5F1B7016" w14:textId="77777777" w:rsidR="008A59FB" w:rsidRDefault="008A59FB" w:rsidP="008623FC">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 </w:t>
      </w:r>
      <w:r>
        <w:rPr>
          <w:rFonts w:ascii="Times New Roman" w:eastAsia="Times New Roman" w:hAnsi="Times New Roman" w:cs="Times New Roman"/>
          <w:sz w:val="24"/>
          <w:szCs w:val="24"/>
          <w:highlight w:val="yellow"/>
        </w:rPr>
        <w:t>S3</w:t>
      </w:r>
      <w:r>
        <w:rPr>
          <w:rFonts w:ascii="Times New Roman" w:eastAsia="Times New Roman" w:hAnsi="Times New Roman" w:cs="Times New Roman"/>
          <w:sz w:val="24"/>
          <w:szCs w:val="24"/>
        </w:rPr>
        <w:t>: Effect of COVID-19 on gut and oral/URT microbiome OTU richness, Shannon and Simpson diversity according to the sampling region. Points are colored according to the study</w:t>
      </w:r>
    </w:p>
    <w:p w14:paraId="3AA7EF75" w14:textId="77777777" w:rsidR="008A59FB" w:rsidRDefault="008A59FB" w:rsidP="008A59F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114300" distB="114300" distL="114300" distR="114300" wp14:anchorId="1C035CB5" wp14:editId="4808448D">
            <wp:extent cx="4462463" cy="3718719"/>
            <wp:effectExtent l="0" t="0" r="0" b="0"/>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l="31229" t="17322" r="5979"/>
                    <a:stretch>
                      <a:fillRect/>
                    </a:stretch>
                  </pic:blipFill>
                  <pic:spPr>
                    <a:xfrm>
                      <a:off x="0" y="0"/>
                      <a:ext cx="4462463" cy="3718719"/>
                    </a:xfrm>
                    <a:prstGeom prst="rect">
                      <a:avLst/>
                    </a:prstGeom>
                    <a:ln/>
                  </pic:spPr>
                </pic:pic>
              </a:graphicData>
            </a:graphic>
          </wp:inline>
        </w:drawing>
      </w:r>
    </w:p>
    <w:p w14:paraId="579A31D2" w14:textId="77777777" w:rsidR="008A59FB" w:rsidRDefault="008A59FB" w:rsidP="008A59F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Figure S4. Variance partitioning analysis quantifying the percentage of variance in microbiome composition explained by SARS-CoV2 infection, the region where the microbiome was sampled (gut or oral/upper respiratory tract), and experimental variables (contained within study). The model was significant (p-value &lt; 0.001). Explanatory power &lt;0.01 is not shown, and significant fractions are indicated with *** (p-value &lt; 0.001).</w:t>
      </w:r>
    </w:p>
    <w:p w14:paraId="517628B8" w14:textId="77777777" w:rsidR="008A59FB" w:rsidRDefault="008A59FB" w:rsidP="008A59FB">
      <w:pPr>
        <w:widowControl w:val="0"/>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p>
    <w:p w14:paraId="2E279B89" w14:textId="77777777" w:rsidR="002F6BC7" w:rsidRPr="008A59FB" w:rsidRDefault="002F6BC7" w:rsidP="008A59FB"/>
    <w:sectPr w:rsidR="002F6BC7" w:rsidRPr="008A59FB" w:rsidSect="0024405E">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CB516" w14:textId="77777777" w:rsidR="00170BB9" w:rsidRDefault="00170BB9" w:rsidP="008623FC">
      <w:pPr>
        <w:spacing w:after="0" w:line="240" w:lineRule="auto"/>
      </w:pPr>
      <w:r>
        <w:separator/>
      </w:r>
    </w:p>
  </w:endnote>
  <w:endnote w:type="continuationSeparator" w:id="0">
    <w:p w14:paraId="2B034B0D" w14:textId="77777777" w:rsidR="00170BB9" w:rsidRDefault="00170BB9" w:rsidP="0086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2329237"/>
      <w:docPartObj>
        <w:docPartGallery w:val="Page Numbers (Bottom of Page)"/>
        <w:docPartUnique/>
      </w:docPartObj>
    </w:sdtPr>
    <w:sdtEndPr>
      <w:rPr>
        <w:noProof/>
      </w:rPr>
    </w:sdtEndPr>
    <w:sdtContent>
      <w:p w14:paraId="599A72B8" w14:textId="672C2AAB" w:rsidR="008623FC" w:rsidRDefault="008623F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FE0604" w14:textId="77777777" w:rsidR="008623FC" w:rsidRDefault="00862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79EC9" w14:textId="77777777" w:rsidR="00170BB9" w:rsidRDefault="00170BB9" w:rsidP="008623FC">
      <w:pPr>
        <w:spacing w:after="0" w:line="240" w:lineRule="auto"/>
      </w:pPr>
      <w:r>
        <w:separator/>
      </w:r>
    </w:p>
  </w:footnote>
  <w:footnote w:type="continuationSeparator" w:id="0">
    <w:p w14:paraId="163F701D" w14:textId="77777777" w:rsidR="00170BB9" w:rsidRDefault="00170BB9" w:rsidP="008623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M3NjYwMDEwsrCwNLFU0lEKTi0uzszPAykwrAUAAsIapiwAAAA="/>
  </w:docVars>
  <w:rsids>
    <w:rsidRoot w:val="00594B12"/>
    <w:rsid w:val="00091F49"/>
    <w:rsid w:val="00170BB9"/>
    <w:rsid w:val="0024405E"/>
    <w:rsid w:val="002F6BC7"/>
    <w:rsid w:val="00594B12"/>
    <w:rsid w:val="008623FC"/>
    <w:rsid w:val="008A59FB"/>
    <w:rsid w:val="00AA2F08"/>
    <w:rsid w:val="00D80E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3C2FE"/>
  <w15:chartTrackingRefBased/>
  <w15:docId w15:val="{B71620B9-222E-4A60-A40B-B85EF8E5D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3FC"/>
  </w:style>
  <w:style w:type="paragraph" w:styleId="Footer">
    <w:name w:val="footer"/>
    <w:basedOn w:val="Normal"/>
    <w:link w:val="FooterChar"/>
    <w:uiPriority w:val="99"/>
    <w:unhideWhenUsed/>
    <w:rsid w:val="0086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Rine Christopher Reuben</dc:creator>
  <cp:keywords/>
  <dc:description/>
  <cp:lastModifiedBy>Rine Christopher Reuben</cp:lastModifiedBy>
  <cp:revision>3</cp:revision>
  <dcterms:created xsi:type="dcterms:W3CDTF">2023-04-23T14:16:00Z</dcterms:created>
  <dcterms:modified xsi:type="dcterms:W3CDTF">2023-04-23T14:18:00Z</dcterms:modified>
</cp:coreProperties>
</file>