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FA" w:rsidRDefault="00FB1A6B">
      <w:pPr>
        <w:spacing w:line="360" w:lineRule="auto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A comprehensive profile of circulating RNAs in human serum</w:t>
      </w:r>
    </w:p>
    <w:p w:rsidR="00FB03FA" w:rsidRDefault="00FB03FA">
      <w:pPr>
        <w:rPr>
          <w:b/>
        </w:rPr>
      </w:pPr>
    </w:p>
    <w:p w:rsidR="00FB03FA" w:rsidRDefault="00FB1A6B">
      <w:pPr>
        <w:rPr>
          <w:b/>
          <w:sz w:val="28"/>
          <w:szCs w:val="28"/>
        </w:rPr>
      </w:pPr>
      <w:r>
        <w:rPr>
          <w:b/>
          <w:sz w:val="28"/>
          <w:szCs w:val="28"/>
        </w:rPr>
        <w:t>Supplementary Figures</w:t>
      </w:r>
    </w:p>
    <w:p w:rsidR="00FB03FA" w:rsidRDefault="00FB03FA">
      <w:pPr>
        <w:rPr>
          <w:b/>
          <w:sz w:val="28"/>
          <w:szCs w:val="28"/>
        </w:rPr>
      </w:pPr>
    </w:p>
    <w:p w:rsidR="00FB03FA" w:rsidRDefault="00FB03FA">
      <w:pPr>
        <w:rPr>
          <w:b/>
        </w:rPr>
      </w:pPr>
    </w:p>
    <w:p w:rsidR="00FB03FA" w:rsidRDefault="00FB1A6B">
      <w:pPr>
        <w:spacing w:line="360" w:lineRule="auto"/>
      </w:pPr>
      <w:r>
        <w:rPr>
          <w:noProof/>
          <w:lang w:val="en-IN" w:eastAsia="en-IN"/>
        </w:rPr>
        <w:drawing>
          <wp:inline distT="0" distB="0" distL="0" distR="0" wp14:anchorId="17C78C6B" wp14:editId="1D5C8F3D">
            <wp:extent cx="5943600" cy="3578225"/>
            <wp:effectExtent l="0" t="0" r="0" b="3175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FA" w:rsidRDefault="00FB1A6B">
      <w:r>
        <w:rPr>
          <w:b/>
        </w:rPr>
        <w:t xml:space="preserve">Supplementary Figure 1.  </w:t>
      </w:r>
      <w:proofErr w:type="gramStart"/>
      <w:r>
        <w:t>A summary of the overall design and the sample groups in this study.</w:t>
      </w:r>
      <w:proofErr w:type="gramEnd"/>
      <w:r>
        <w:t xml:space="preserve"> There are two groups of samples: serum and technical replicates.</w:t>
      </w:r>
    </w:p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1A6B">
      <w:r>
        <w:rPr>
          <w:noProof/>
          <w:lang w:val="en-IN" w:eastAsia="en-IN"/>
        </w:rPr>
        <w:lastRenderedPageBreak/>
        <w:drawing>
          <wp:inline distT="114300" distB="114300" distL="114300" distR="114300">
            <wp:extent cx="5943600" cy="529590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03FA" w:rsidRDefault="00FB1A6B">
      <w:pPr>
        <w:spacing w:line="360" w:lineRule="auto"/>
      </w:pPr>
      <w:r>
        <w:rPr>
          <w:b/>
        </w:rPr>
        <w:t xml:space="preserve">Supplementary Figure 2. </w:t>
      </w:r>
      <w:r>
        <w:t xml:space="preserve">An overall classification of the mapped reads of the technical replicates (n=17). </w:t>
      </w:r>
      <w:r>
        <w:rPr>
          <w:b/>
        </w:rPr>
        <w:t xml:space="preserve">(A) </w:t>
      </w:r>
      <w:r>
        <w:t xml:space="preserve">This pie-chart, generated using uniquely-mapped reads, shows an abundance of miRNAs followed by protein-coding mRNAs and </w:t>
      </w:r>
      <w:proofErr w:type="spellStart"/>
      <w:r>
        <w:t>misc</w:t>
      </w:r>
      <w:proofErr w:type="spellEnd"/>
      <w:r>
        <w:t xml:space="preserve">-RNAs. This is quite similar with the Figure 1 of the main manuscript. </w:t>
      </w:r>
      <w:r>
        <w:rPr>
          <w:b/>
        </w:rPr>
        <w:t xml:space="preserve">(B) </w:t>
      </w:r>
      <w:r>
        <w:t xml:space="preserve">Allowing multi-mapped reads is affecting overall profiles. For multi-mapped reads, </w:t>
      </w:r>
      <w:proofErr w:type="spellStart"/>
      <w:r>
        <w:t>misc</w:t>
      </w:r>
      <w:proofErr w:type="spellEnd"/>
      <w:r>
        <w:t xml:space="preserve">-RNAs (yellow) are the most abundant RNA type followed by </w:t>
      </w:r>
      <w:proofErr w:type="spellStart"/>
      <w:r>
        <w:t>piRNAs</w:t>
      </w:r>
      <w:proofErr w:type="spellEnd"/>
      <w:r>
        <w:t xml:space="preserve"> (green) and </w:t>
      </w:r>
      <w:proofErr w:type="spellStart"/>
      <w:proofErr w:type="gramStart"/>
      <w:r>
        <w:t>tRNAs</w:t>
      </w:r>
      <w:proofErr w:type="spellEnd"/>
      <w:proofErr w:type="gramEnd"/>
      <w:r>
        <w:t xml:space="preserve"> (purple). The annotations of GENCODE v26 and </w:t>
      </w:r>
      <w:proofErr w:type="spellStart"/>
      <w:r>
        <w:t>piRBase</w:t>
      </w:r>
      <w:proofErr w:type="spellEnd"/>
      <w:r>
        <w:t xml:space="preserve"> were used to create these plots.</w:t>
      </w:r>
    </w:p>
    <w:p w:rsidR="00FB03FA" w:rsidRDefault="00FB03FA"/>
    <w:p w:rsidR="00FB03FA" w:rsidRDefault="00FB03FA"/>
    <w:p w:rsidR="00FB03FA" w:rsidRDefault="00FB03FA"/>
    <w:p w:rsidR="00FB03FA" w:rsidRDefault="00FB03FA">
      <w:pPr>
        <w:spacing w:line="360" w:lineRule="auto"/>
      </w:pPr>
    </w:p>
    <w:p w:rsidR="00FB03FA" w:rsidRDefault="00FB03FA">
      <w:pPr>
        <w:spacing w:line="360" w:lineRule="auto"/>
      </w:pPr>
    </w:p>
    <w:p w:rsidR="00FB03FA" w:rsidRDefault="00FB03FA">
      <w:pPr>
        <w:spacing w:line="360" w:lineRule="auto"/>
      </w:pPr>
    </w:p>
    <w:p w:rsidR="00FB03FA" w:rsidRDefault="00FB03FA">
      <w:pPr>
        <w:spacing w:line="360" w:lineRule="auto"/>
      </w:pPr>
    </w:p>
    <w:p w:rsidR="00FB03FA" w:rsidRDefault="00FB03FA">
      <w:pPr>
        <w:spacing w:line="360" w:lineRule="auto"/>
      </w:pPr>
    </w:p>
    <w:p w:rsidR="00FB03FA" w:rsidRDefault="00FB1A6B">
      <w:pPr>
        <w:rPr>
          <w:b/>
        </w:rPr>
      </w:pPr>
      <w:r>
        <w:rPr>
          <w:noProof/>
          <w:lang w:val="en-IN" w:eastAsia="en-IN"/>
        </w:rPr>
        <w:drawing>
          <wp:inline distT="114300" distB="114300" distL="114300" distR="114300">
            <wp:extent cx="5943600" cy="33909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03FA" w:rsidRDefault="00FB1A6B">
      <w:r>
        <w:rPr>
          <w:b/>
        </w:rPr>
        <w:t xml:space="preserve">Supplementary Figure 3.  </w:t>
      </w:r>
      <w:r>
        <w:t>Another version of the Figure 4 of the main manuscript. Here we randomly sub-sampled the serum samples to compare CV values between identical sized sub-samples of the serum and technical replicates. All the serum sub-samples have larger CV values than their associated technical replicates (Mann-Whitney U test, p &lt; 0.0001). This shows that the circulating RNAs contain biological signal.</w:t>
      </w:r>
    </w:p>
    <w:p w:rsidR="00FB03FA" w:rsidRDefault="00FB03FA"/>
    <w:p w:rsidR="00FB03FA" w:rsidRDefault="00FB03FA"/>
    <w:p w:rsidR="00FB03FA" w:rsidRDefault="00FB03FA"/>
    <w:p w:rsidR="00FB03FA" w:rsidRDefault="00FB03FA"/>
    <w:p w:rsidR="00FB03FA" w:rsidRDefault="00FB1A6B">
      <w:r>
        <w:rPr>
          <w:noProof/>
          <w:lang w:val="en-IN" w:eastAsia="en-IN"/>
        </w:rPr>
        <w:lastRenderedPageBreak/>
        <w:drawing>
          <wp:inline distT="114300" distB="114300" distL="114300" distR="114300">
            <wp:extent cx="5943600" cy="5575300"/>
            <wp:effectExtent l="0" t="0" r="0" b="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7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03FA" w:rsidRDefault="00FB1A6B">
      <w:r>
        <w:rPr>
          <w:b/>
        </w:rPr>
        <w:t xml:space="preserve">Supplementary Figure 4. </w:t>
      </w:r>
      <w:r>
        <w:t xml:space="preserve">We divided the detected </w:t>
      </w:r>
      <w:proofErr w:type="spellStart"/>
      <w:r>
        <w:t>isomiRs</w:t>
      </w:r>
      <w:proofErr w:type="spellEnd"/>
      <w:r>
        <w:t xml:space="preserve"> into four groups: all the serum and technical replicate </w:t>
      </w:r>
      <w:proofErr w:type="spellStart"/>
      <w:r>
        <w:t>isomiRs</w:t>
      </w:r>
      <w:proofErr w:type="spellEnd"/>
      <w:r>
        <w:t xml:space="preserve"> (n= 1642), </w:t>
      </w:r>
      <w:proofErr w:type="spellStart"/>
      <w:r>
        <w:t>isomiRs</w:t>
      </w:r>
      <w:proofErr w:type="spellEnd"/>
      <w:r>
        <w:t xml:space="preserve"> with low CV (n= 797)</w:t>
      </w:r>
      <w:proofErr w:type="gramStart"/>
      <w:r>
        <w:t xml:space="preserve">,  </w:t>
      </w:r>
      <w:proofErr w:type="spellStart"/>
      <w:r>
        <w:t>isomiRs</w:t>
      </w:r>
      <w:proofErr w:type="spellEnd"/>
      <w:proofErr w:type="gramEnd"/>
      <w:r>
        <w:t xml:space="preserve"> with very low CV (n=403) and lastly </w:t>
      </w:r>
      <w:proofErr w:type="spellStart"/>
      <w:r>
        <w:t>isomiRs</w:t>
      </w:r>
      <w:proofErr w:type="spellEnd"/>
      <w:r>
        <w:t xml:space="preserve"> with high CV (n= 845) in the technical replicates. A hierarchical clustering of the serum and technical replicates using </w:t>
      </w:r>
      <w:proofErr w:type="spellStart"/>
      <w:r>
        <w:t>isomiR</w:t>
      </w:r>
      <w:proofErr w:type="spellEnd"/>
      <w:r>
        <w:t xml:space="preserve"> expression data shows that both the low CV </w:t>
      </w:r>
      <w:proofErr w:type="spellStart"/>
      <w:r>
        <w:t>isomiRs</w:t>
      </w:r>
      <w:proofErr w:type="spellEnd"/>
      <w:r>
        <w:t xml:space="preserve"> and very low CV </w:t>
      </w:r>
      <w:proofErr w:type="spellStart"/>
      <w:r>
        <w:t>isomiRs</w:t>
      </w:r>
      <w:proofErr w:type="spellEnd"/>
      <w:r>
        <w:t xml:space="preserve"> are successfully clustering because they do not have much internal variation. Furthermore, the very low CV group has 403 </w:t>
      </w:r>
      <w:proofErr w:type="spellStart"/>
      <w:r>
        <w:t>isomiRs</w:t>
      </w:r>
      <w:proofErr w:type="spellEnd"/>
      <w:r>
        <w:t xml:space="preserve"> which are enough for clustering. The high CV </w:t>
      </w:r>
      <w:proofErr w:type="spellStart"/>
      <w:r>
        <w:t>isomiRs</w:t>
      </w:r>
      <w:proofErr w:type="spellEnd"/>
      <w:r>
        <w:t xml:space="preserve"> are not successful because of high technical variation.</w:t>
      </w:r>
    </w:p>
    <w:p w:rsidR="00FB03FA" w:rsidRDefault="00FB03FA"/>
    <w:p w:rsidR="00FB03FA" w:rsidRDefault="00FB03FA"/>
    <w:p w:rsidR="00FB03FA" w:rsidRDefault="00FB03FA"/>
    <w:p w:rsidR="00FB03FA" w:rsidRDefault="00FB03FA"/>
    <w:p w:rsidR="00FB03FA" w:rsidRDefault="00FB03FA"/>
    <w:p w:rsidR="00FB03FA" w:rsidRDefault="00FB1A6B">
      <w:r>
        <w:rPr>
          <w:noProof/>
          <w:lang w:val="en-IN" w:eastAsia="en-IN"/>
        </w:rPr>
        <w:lastRenderedPageBreak/>
        <w:drawing>
          <wp:inline distT="114300" distB="114300" distL="114300" distR="114300">
            <wp:extent cx="5943600" cy="4495800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03FA" w:rsidRDefault="00FB1A6B">
      <w:r>
        <w:rPr>
          <w:b/>
        </w:rPr>
        <w:t>Supplementary Figure 5.</w:t>
      </w:r>
      <w:r>
        <w:t xml:space="preserve"> In this figure, the x-axis shows the age of samples (in years</w:t>
      </w:r>
      <w:proofErr w:type="gramStart"/>
      <w:r>
        <w:t>)  while</w:t>
      </w:r>
      <w:proofErr w:type="gramEnd"/>
      <w:r>
        <w:t xml:space="preserve"> the y-axis shows the number of </w:t>
      </w:r>
      <w:proofErr w:type="spellStart"/>
      <w:r>
        <w:t>sncRNAs</w:t>
      </w:r>
      <w:proofErr w:type="spellEnd"/>
      <w:r>
        <w:t xml:space="preserve"> identified. Each color represents a different </w:t>
      </w:r>
      <w:proofErr w:type="spellStart"/>
      <w:r>
        <w:t>sncRNA</w:t>
      </w:r>
      <w:proofErr w:type="spellEnd"/>
      <w:r>
        <w:t xml:space="preserve"> type. This analysis summarizes that sample age has a significant effect on overall </w:t>
      </w:r>
      <w:proofErr w:type="spellStart"/>
      <w:r>
        <w:t>sncRNA</w:t>
      </w:r>
      <w:proofErr w:type="spellEnd"/>
      <w:r>
        <w:t xml:space="preserve"> profiles (p &lt; 0.01) but not very strong.</w:t>
      </w:r>
    </w:p>
    <w:sectPr w:rsidR="00FB03F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B03FA"/>
    <w:rsid w:val="009B4F5B"/>
    <w:rsid w:val="00FB03FA"/>
    <w:rsid w:val="00FB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F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F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Kreftregisteret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Kazingngala Keishing</dc:creator>
  <cp:lastModifiedBy>Kazingngala Keishing</cp:lastModifiedBy>
  <cp:revision>2</cp:revision>
  <dcterms:created xsi:type="dcterms:W3CDTF">2017-11-07T15:31:00Z</dcterms:created>
  <dcterms:modified xsi:type="dcterms:W3CDTF">2017-11-07T15:31:00Z</dcterms:modified>
</cp:coreProperties>
</file>